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D30D66" w:rsidRDefault="003154A2" w:rsidP="00D30D66">
      <w:pPr>
        <w:spacing w:before="120" w:after="120" w:line="360" w:lineRule="auto"/>
        <w:jc w:val="center"/>
        <w:rPr>
          <w:rFonts w:ascii="Arial" w:hAnsi="Arial" w:cs="Arial"/>
          <w:b/>
          <w:sz w:val="28"/>
          <w:szCs w:val="28"/>
        </w:rPr>
      </w:pPr>
      <w:r w:rsidRPr="00D30D66">
        <w:rPr>
          <w:rFonts w:ascii="Arial" w:hAnsi="Arial" w:cs="Arial"/>
          <w:b/>
          <w:sz w:val="28"/>
          <w:szCs w:val="28"/>
        </w:rPr>
        <w:t xml:space="preserve">PROGRAMA </w:t>
      </w:r>
      <w:r w:rsidR="00EC7AD9" w:rsidRPr="00D30D66">
        <w:rPr>
          <w:rFonts w:ascii="Arial" w:hAnsi="Arial" w:cs="Arial"/>
          <w:b/>
          <w:sz w:val="28"/>
          <w:szCs w:val="28"/>
        </w:rPr>
        <w:t>4</w:t>
      </w:r>
      <w:r w:rsidR="00377A9D" w:rsidRPr="00D30D66">
        <w:rPr>
          <w:rFonts w:ascii="Arial" w:hAnsi="Arial" w:cs="Arial"/>
          <w:b/>
          <w:sz w:val="28"/>
          <w:szCs w:val="28"/>
        </w:rPr>
        <w:t>6</w:t>
      </w:r>
      <w:r w:rsidR="00EC7AD9" w:rsidRPr="00D30D66">
        <w:rPr>
          <w:rFonts w:ascii="Arial" w:hAnsi="Arial" w:cs="Arial"/>
          <w:b/>
          <w:sz w:val="28"/>
          <w:szCs w:val="28"/>
        </w:rPr>
        <w:t>LB</w:t>
      </w:r>
    </w:p>
    <w:p w:rsidR="00423FD2" w:rsidRPr="00D30D66" w:rsidRDefault="00531BE2" w:rsidP="00D30D66">
      <w:pPr>
        <w:spacing w:before="120" w:after="120" w:line="360" w:lineRule="auto"/>
        <w:jc w:val="center"/>
        <w:rPr>
          <w:rFonts w:ascii="Arial" w:hAnsi="Arial" w:cs="Arial"/>
          <w:b/>
          <w:sz w:val="26"/>
          <w:szCs w:val="26"/>
        </w:rPr>
      </w:pPr>
      <w:r w:rsidRPr="00D30D66">
        <w:rPr>
          <w:rFonts w:ascii="Arial" w:hAnsi="Arial" w:cs="Arial"/>
          <w:b/>
          <w:sz w:val="26"/>
          <w:szCs w:val="26"/>
        </w:rPr>
        <w:t>C12</w:t>
      </w:r>
      <w:r w:rsidR="00E27FD8" w:rsidRPr="00D30D66">
        <w:rPr>
          <w:rFonts w:ascii="Arial" w:hAnsi="Arial" w:cs="Arial"/>
          <w:b/>
          <w:sz w:val="26"/>
          <w:szCs w:val="26"/>
        </w:rPr>
        <w:t xml:space="preserve"> </w:t>
      </w:r>
      <w:r w:rsidRPr="00D30D66">
        <w:rPr>
          <w:rFonts w:ascii="Arial" w:hAnsi="Arial" w:cs="Arial"/>
          <w:b/>
          <w:sz w:val="26"/>
          <w:szCs w:val="26"/>
        </w:rPr>
        <w:t>I</w:t>
      </w:r>
      <w:r w:rsidR="00536ED6" w:rsidRPr="00D30D66">
        <w:rPr>
          <w:rFonts w:ascii="Arial" w:hAnsi="Arial" w:cs="Arial"/>
          <w:b/>
          <w:sz w:val="26"/>
          <w:szCs w:val="26"/>
        </w:rPr>
        <w:t>0</w:t>
      </w:r>
      <w:r w:rsidRPr="00D30D66">
        <w:rPr>
          <w:rFonts w:ascii="Arial" w:hAnsi="Arial" w:cs="Arial"/>
          <w:b/>
          <w:sz w:val="26"/>
          <w:szCs w:val="26"/>
        </w:rPr>
        <w:t xml:space="preserve">2 </w:t>
      </w:r>
      <w:r w:rsidR="00423FD2" w:rsidRPr="00D30D66">
        <w:rPr>
          <w:rFonts w:ascii="Arial" w:hAnsi="Arial" w:cs="Arial"/>
          <w:b/>
          <w:sz w:val="26"/>
          <w:szCs w:val="26"/>
        </w:rPr>
        <w:t>PROGRAMA DE IMPULSO DE LA COMPETITIVIDAD Y SOSTENIBILIDAD INDUSTRIAL</w:t>
      </w:r>
      <w:r w:rsidR="00085A45" w:rsidRPr="00D30D66">
        <w:rPr>
          <w:rFonts w:ascii="Arial" w:hAnsi="Arial" w:cs="Arial"/>
          <w:b/>
          <w:sz w:val="26"/>
          <w:szCs w:val="26"/>
        </w:rPr>
        <w:t>.</w:t>
      </w:r>
      <w:r w:rsidR="008E0CEC" w:rsidRPr="00D30D66">
        <w:rPr>
          <w:rFonts w:ascii="Arial" w:hAnsi="Arial" w:cs="Arial"/>
          <w:b/>
          <w:sz w:val="26"/>
          <w:szCs w:val="26"/>
        </w:rPr>
        <w:t xml:space="preserve"> </w:t>
      </w:r>
      <w:r w:rsidR="00085A45" w:rsidRPr="00D30D66">
        <w:rPr>
          <w:rFonts w:ascii="Arial" w:hAnsi="Arial" w:cs="Arial"/>
          <w:b/>
          <w:sz w:val="26"/>
          <w:szCs w:val="26"/>
        </w:rPr>
        <w:t xml:space="preserve"> I+D+I+</w:t>
      </w:r>
      <w:r w:rsidR="00F074DE" w:rsidRPr="00D30D66">
        <w:rPr>
          <w:rFonts w:ascii="Arial" w:hAnsi="Arial" w:cs="Arial"/>
          <w:b/>
          <w:sz w:val="26"/>
          <w:szCs w:val="26"/>
        </w:rPr>
        <w:t>DIGITALIZACIÓN</w:t>
      </w:r>
      <w:r w:rsidR="00423FD2" w:rsidRPr="00D30D66">
        <w:rPr>
          <w:rFonts w:ascii="Arial" w:hAnsi="Arial" w:cs="Arial"/>
          <w:b/>
          <w:sz w:val="26"/>
          <w:szCs w:val="26"/>
        </w:rPr>
        <w:t xml:space="preserve"> </w:t>
      </w:r>
    </w:p>
    <w:p w:rsidR="00517824" w:rsidRPr="00517824" w:rsidRDefault="00517824" w:rsidP="00D30D66">
      <w:pPr>
        <w:spacing w:before="120" w:after="120" w:line="360" w:lineRule="auto"/>
        <w:rPr>
          <w:rFonts w:ascii="Arial" w:hAnsi="Arial" w:cs="Arial"/>
          <w:b/>
          <w:sz w:val="22"/>
          <w:szCs w:val="22"/>
        </w:rPr>
      </w:pPr>
      <w:r w:rsidRPr="00517824">
        <w:rPr>
          <w:rFonts w:ascii="Arial" w:hAnsi="Arial" w:cs="Arial"/>
          <w:b/>
          <w:sz w:val="22"/>
          <w:szCs w:val="22"/>
        </w:rPr>
        <w:t xml:space="preserve">1. </w:t>
      </w:r>
      <w:r w:rsidR="00423FD2" w:rsidRPr="00517824">
        <w:rPr>
          <w:rFonts w:ascii="Arial" w:hAnsi="Arial" w:cs="Arial"/>
          <w:b/>
          <w:sz w:val="22"/>
          <w:szCs w:val="22"/>
        </w:rPr>
        <w:t>DENOMINACIÓN DEL COMPONENTE</w:t>
      </w:r>
    </w:p>
    <w:tbl>
      <w:tblPr>
        <w:tblW w:w="11420" w:type="dxa"/>
        <w:tblInd w:w="2" w:type="dxa"/>
        <w:tblCellMar>
          <w:left w:w="0" w:type="dxa"/>
          <w:right w:w="0" w:type="dxa"/>
        </w:tblCellMar>
        <w:tblLook w:val="04A0" w:firstRow="1" w:lastRow="0" w:firstColumn="1" w:lastColumn="0" w:noHBand="0" w:noVBand="1"/>
      </w:tblPr>
      <w:tblGrid>
        <w:gridCol w:w="11420"/>
      </w:tblGrid>
      <w:tr w:rsidR="00DC7CA9" w:rsidRPr="00DC7CA9" w:rsidTr="00377A9D">
        <w:trPr>
          <w:trHeight w:val="435"/>
        </w:trPr>
        <w:tc>
          <w:tcPr>
            <w:tcW w:w="6775" w:type="dxa"/>
            <w:tcBorders>
              <w:top w:val="nil"/>
              <w:left w:val="nil"/>
              <w:bottom w:val="nil"/>
              <w:right w:val="single" w:sz="8" w:space="0" w:color="auto"/>
            </w:tcBorders>
            <w:tcMar>
              <w:top w:w="0" w:type="dxa"/>
              <w:left w:w="70" w:type="dxa"/>
              <w:bottom w:w="0" w:type="dxa"/>
              <w:right w:w="70" w:type="dxa"/>
            </w:tcMar>
            <w:vAlign w:val="center"/>
            <w:hideMark/>
          </w:tcPr>
          <w:p w:rsidR="00531BE2" w:rsidRPr="00DC7CA9" w:rsidRDefault="00531BE2" w:rsidP="00D30D66">
            <w:pPr>
              <w:spacing w:before="120" w:after="120" w:line="360" w:lineRule="auto"/>
              <w:ind w:firstLine="634"/>
              <w:jc w:val="both"/>
              <w:rPr>
                <w:rFonts w:ascii="Verdana" w:hAnsi="Verdana"/>
                <w:sz w:val="16"/>
                <w:szCs w:val="16"/>
                <w:lang w:val="es-ES"/>
              </w:rPr>
            </w:pPr>
            <w:r w:rsidRPr="00DC7CA9">
              <w:rPr>
                <w:rFonts w:ascii="Arial" w:hAnsi="Arial" w:cs="Arial"/>
                <w:sz w:val="22"/>
                <w:szCs w:val="22"/>
              </w:rPr>
              <w:t>Política Industrial España 2030</w:t>
            </w:r>
            <w:r w:rsidR="00EB4553">
              <w:rPr>
                <w:rFonts w:ascii="Arial" w:hAnsi="Arial" w:cs="Arial"/>
                <w:sz w:val="22"/>
                <w:szCs w:val="22"/>
              </w:rPr>
              <w:t>.</w:t>
            </w:r>
          </w:p>
        </w:tc>
      </w:tr>
    </w:tbl>
    <w:p w:rsidR="00517824" w:rsidRPr="00517824" w:rsidRDefault="00517824" w:rsidP="00D30D66">
      <w:pPr>
        <w:spacing w:before="120" w:after="120" w:line="360" w:lineRule="auto"/>
        <w:rPr>
          <w:rFonts w:ascii="Arial" w:hAnsi="Arial" w:cs="Arial"/>
          <w:b/>
          <w:sz w:val="22"/>
          <w:szCs w:val="22"/>
        </w:rPr>
      </w:pPr>
      <w:r w:rsidRPr="00517824">
        <w:rPr>
          <w:rFonts w:ascii="Arial" w:hAnsi="Arial" w:cs="Arial"/>
          <w:b/>
          <w:sz w:val="22"/>
          <w:szCs w:val="22"/>
        </w:rPr>
        <w:t xml:space="preserve">2. </w:t>
      </w:r>
      <w:r w:rsidR="00423FD2" w:rsidRPr="00517824">
        <w:rPr>
          <w:rFonts w:ascii="Arial" w:hAnsi="Arial" w:cs="Arial"/>
          <w:b/>
          <w:sz w:val="22"/>
          <w:szCs w:val="22"/>
        </w:rPr>
        <w:t>DESCRIPCIÓN GENERAL DEL COMPONENTE</w:t>
      </w:r>
    </w:p>
    <w:p w:rsidR="0035033C" w:rsidRPr="00DC7CA9" w:rsidRDefault="0035033C" w:rsidP="00D30D66">
      <w:pPr>
        <w:spacing w:before="120" w:after="120" w:line="360" w:lineRule="auto"/>
        <w:ind w:firstLine="708"/>
        <w:jc w:val="both"/>
        <w:rPr>
          <w:rFonts w:ascii="Arial" w:hAnsi="Arial" w:cs="Arial"/>
          <w:sz w:val="22"/>
          <w:szCs w:val="22"/>
        </w:rPr>
      </w:pPr>
      <w:r w:rsidRPr="00DC7CA9">
        <w:rPr>
          <w:rFonts w:ascii="Arial" w:hAnsi="Arial" w:cs="Arial"/>
          <w:sz w:val="22"/>
          <w:szCs w:val="22"/>
        </w:rPr>
        <w:t>La industria manufacturera (excluido el sector energético) representa un 12</w:t>
      </w:r>
      <w:r w:rsidR="004F4BF7">
        <w:rPr>
          <w:rFonts w:ascii="Arial" w:hAnsi="Arial" w:cs="Arial"/>
          <w:sz w:val="22"/>
          <w:szCs w:val="22"/>
        </w:rPr>
        <w:t>,</w:t>
      </w:r>
      <w:r w:rsidRPr="00DC7CA9">
        <w:rPr>
          <w:rFonts w:ascii="Arial" w:hAnsi="Arial" w:cs="Arial"/>
          <w:sz w:val="22"/>
          <w:szCs w:val="22"/>
        </w:rPr>
        <w:t>3% del Valor Añadido Bruto de la economía española, un porcentaje inferior a los países de nuestro entorno que supone un elemento de vulnerabilidad, dada la mayor resiliencia mostrada ante la crisis financiera y la actual crisis sanitaria así como una mayor productividad que otros sectores, atribuyéndose a la industria un 83% de la exportación total española, ostentando los mayores ratios de estabilidad en el empleo y mayores salarios que en el resto de sectores económicos.</w:t>
      </w:r>
    </w:p>
    <w:p w:rsidR="0035033C" w:rsidRPr="00DC7CA9" w:rsidRDefault="0035033C" w:rsidP="00D30D66">
      <w:pPr>
        <w:spacing w:before="120" w:after="120" w:line="360" w:lineRule="auto"/>
        <w:ind w:firstLine="708"/>
        <w:jc w:val="both"/>
        <w:rPr>
          <w:rFonts w:ascii="Arial" w:hAnsi="Arial" w:cs="Arial"/>
          <w:sz w:val="22"/>
          <w:szCs w:val="22"/>
        </w:rPr>
      </w:pPr>
      <w:r w:rsidRPr="00DC7CA9">
        <w:rPr>
          <w:rFonts w:ascii="Arial" w:hAnsi="Arial" w:cs="Arial"/>
          <w:sz w:val="22"/>
          <w:szCs w:val="22"/>
        </w:rPr>
        <w:t xml:space="preserve">En este terreno, España dispone de un importante tejido productivo en algunos sectores tractores, que serán clave para abordar la transición ecológica y la transformación digital de la economía, que se impulsará mediante </w:t>
      </w:r>
      <w:r w:rsidR="00A101B0" w:rsidRPr="00DC7CA9">
        <w:rPr>
          <w:rFonts w:ascii="Arial" w:hAnsi="Arial" w:cs="Arial"/>
          <w:sz w:val="22"/>
          <w:szCs w:val="22"/>
        </w:rPr>
        <w:t>el Plan de Recuperación, Transformación y Resiliencia</w:t>
      </w:r>
      <w:r w:rsidRPr="00DC7CA9">
        <w:rPr>
          <w:rFonts w:ascii="Arial" w:hAnsi="Arial" w:cs="Arial"/>
          <w:sz w:val="22"/>
          <w:szCs w:val="22"/>
        </w:rPr>
        <w:t>, enfocado a esos sectores industriales, en particular a aquellos con efecto tractor, entre los que cabe destacar, aunque no de forma exclusiva, la automoción y su transición hacia el vehículo eléctrico, el sector agroalimentario, el de la salud, el sector aeronáutico o el naval, entre otros.</w:t>
      </w:r>
    </w:p>
    <w:p w:rsidR="0035033C" w:rsidRPr="00DC7CA9" w:rsidRDefault="0035033C" w:rsidP="00D30D66">
      <w:pPr>
        <w:spacing w:before="120" w:after="120" w:line="360" w:lineRule="auto"/>
        <w:ind w:firstLine="708"/>
        <w:jc w:val="both"/>
        <w:rPr>
          <w:rFonts w:ascii="Arial" w:hAnsi="Arial" w:cs="Arial"/>
          <w:sz w:val="22"/>
          <w:szCs w:val="22"/>
        </w:rPr>
      </w:pPr>
      <w:r w:rsidRPr="00DC7CA9">
        <w:rPr>
          <w:rFonts w:ascii="Arial" w:hAnsi="Arial" w:cs="Arial"/>
          <w:sz w:val="22"/>
          <w:szCs w:val="22"/>
        </w:rPr>
        <w:t xml:space="preserve">En el caso del sector de la automoción, que representa en 2019 un 11% del PIB y más de 300.000 puestos de trabajo directos (de ellos 65.000 en centros de fabricación y el resto entre proveedores, concesionarios y talleres de reparación), existe una cadena de valor integrada y consolidada en España que incluye empresas de componentes, ensamblaje, logística y otros servicios auxiliares. </w:t>
      </w:r>
    </w:p>
    <w:p w:rsidR="0035033C" w:rsidRPr="00DC7CA9" w:rsidRDefault="0035033C" w:rsidP="00D30D66">
      <w:pPr>
        <w:spacing w:before="120" w:after="120" w:line="360" w:lineRule="auto"/>
        <w:ind w:firstLine="708"/>
        <w:jc w:val="both"/>
        <w:rPr>
          <w:rFonts w:ascii="Arial" w:hAnsi="Arial" w:cs="Arial"/>
          <w:sz w:val="22"/>
          <w:szCs w:val="22"/>
        </w:rPr>
      </w:pPr>
      <w:r w:rsidRPr="00DC7CA9">
        <w:rPr>
          <w:rFonts w:ascii="Arial" w:hAnsi="Arial" w:cs="Arial"/>
          <w:sz w:val="22"/>
          <w:szCs w:val="22"/>
        </w:rPr>
        <w:t>Pero también existen otros sectores donde son varias las empresas clave, como la industria aeronáutica, o en el ámbito de la máquina-herramienta. en el que España dispone también de una posición importante, la industria farmacéutica, el sector químico, el agroalimentario, etc.</w:t>
      </w:r>
    </w:p>
    <w:p w:rsidR="0035033C" w:rsidRPr="00DC7CA9" w:rsidRDefault="0035033C" w:rsidP="00D30D66">
      <w:pPr>
        <w:spacing w:before="120" w:after="120" w:line="360" w:lineRule="auto"/>
        <w:ind w:firstLine="708"/>
        <w:jc w:val="both"/>
        <w:rPr>
          <w:rFonts w:ascii="Arial" w:hAnsi="Arial" w:cs="Arial"/>
          <w:sz w:val="22"/>
          <w:szCs w:val="22"/>
        </w:rPr>
      </w:pPr>
      <w:r w:rsidRPr="00DC7CA9">
        <w:rPr>
          <w:rFonts w:ascii="Arial" w:hAnsi="Arial" w:cs="Arial"/>
          <w:sz w:val="22"/>
          <w:szCs w:val="22"/>
        </w:rPr>
        <w:t xml:space="preserve">Finalmente, el tejido industrial cuenta con importantes empresas electro-intensivas que, en el ámbito del aluminio, el acero, la cerámica o el cemento, han empezado a abordar un proceso de modernización y transformación para incorporar las tecnologías más </w:t>
      </w:r>
      <w:r w:rsidRPr="00DC7CA9">
        <w:rPr>
          <w:rFonts w:ascii="Arial" w:hAnsi="Arial" w:cs="Arial"/>
          <w:sz w:val="22"/>
          <w:szCs w:val="22"/>
        </w:rPr>
        <w:lastRenderedPageBreak/>
        <w:t>eficientes y acompañar el importante proceso de reforma energética para lograr los objetivos fijados para 2050, y que constituyen los primeros eslabones en las grandes cadenas de valor industriales europeas.</w:t>
      </w:r>
    </w:p>
    <w:p w:rsidR="0035033C" w:rsidRPr="00DC7CA9" w:rsidRDefault="0035033C" w:rsidP="00D30D66">
      <w:pPr>
        <w:spacing w:before="120" w:after="120" w:line="360" w:lineRule="auto"/>
        <w:ind w:firstLine="708"/>
        <w:jc w:val="both"/>
        <w:rPr>
          <w:rFonts w:ascii="Arial" w:hAnsi="Arial" w:cs="Arial"/>
          <w:sz w:val="22"/>
          <w:szCs w:val="22"/>
        </w:rPr>
      </w:pPr>
      <w:r w:rsidRPr="00DC7CA9">
        <w:rPr>
          <w:rFonts w:ascii="Arial" w:hAnsi="Arial" w:cs="Arial"/>
          <w:sz w:val="22"/>
          <w:szCs w:val="22"/>
        </w:rPr>
        <w:t xml:space="preserve">El proceso de digitalización está llevando a la convergencia de los sectores productivos tradicionales, desarrollándose un nuevo ecosistema de industria-servicios con cadenas de valor de alta productividad y competitividad internacional.  Asimismo, la pandemia ha puesto de manifiesto la importancia de contar con capacidades de producción en territorio de la UE con el fin de garantizar la autonomía estratégica y la resiliencia a largo plazo. </w:t>
      </w:r>
    </w:p>
    <w:p w:rsidR="0035033C" w:rsidRPr="00DC7CA9" w:rsidRDefault="0035033C" w:rsidP="00D30D66">
      <w:pPr>
        <w:spacing w:before="120" w:after="120" w:line="360" w:lineRule="auto"/>
        <w:ind w:firstLine="708"/>
        <w:jc w:val="both"/>
        <w:rPr>
          <w:rFonts w:ascii="Arial" w:hAnsi="Arial" w:cs="Arial"/>
          <w:sz w:val="22"/>
          <w:szCs w:val="22"/>
        </w:rPr>
      </w:pPr>
      <w:r w:rsidRPr="00DC7CA9">
        <w:rPr>
          <w:rFonts w:ascii="Arial" w:hAnsi="Arial" w:cs="Arial"/>
          <w:sz w:val="22"/>
          <w:szCs w:val="22"/>
        </w:rPr>
        <w:t>Con el fin de coordinar las actuaciones de las diferentes administraciones públicas y aprovechar las sinergias de las inversiones público-privadas, el Plan prevé la identificación de Proyectos Estratégicos para la Recuperación y la Transformación Económica (</w:t>
      </w:r>
      <w:proofErr w:type="spellStart"/>
      <w:r w:rsidRPr="00DC7CA9">
        <w:rPr>
          <w:rFonts w:ascii="Arial" w:hAnsi="Arial" w:cs="Arial"/>
          <w:sz w:val="22"/>
          <w:szCs w:val="22"/>
        </w:rPr>
        <w:t>PERTEs</w:t>
      </w:r>
      <w:proofErr w:type="spellEnd"/>
      <w:r w:rsidRPr="00DC7CA9">
        <w:rPr>
          <w:rFonts w:ascii="Arial" w:hAnsi="Arial" w:cs="Arial"/>
          <w:sz w:val="22"/>
          <w:szCs w:val="22"/>
        </w:rPr>
        <w:t>). Se trata de proyectos que engloban la cadena de valor en un ámbito estratégico, responden a un fallo de mercado y tienen un especial peso desde el punto de vista de la complejidad, la envergadura o el impacto potencial a largo plazo. Con el fin de identificar estos proyectos, se han lanzado distintas invitaciones a manifestación de interés, que han contado con una importante respuesta. El primer PERTE anunciado se constituirá para el desarrollo del vehículo eléctrico, propiciando la formación de un consorcio que incluya a las principales empresas ensambladoras presentes en territorio español, así como las empresas de componentes, telecomunicaciones, energéticas, de logística, etc.</w:t>
      </w:r>
    </w:p>
    <w:p w:rsidR="00517824" w:rsidRPr="00DC7CA9" w:rsidRDefault="0035033C" w:rsidP="00D30D66">
      <w:pPr>
        <w:spacing w:before="120" w:after="120" w:line="360" w:lineRule="auto"/>
        <w:ind w:firstLine="708"/>
        <w:jc w:val="both"/>
        <w:rPr>
          <w:rFonts w:ascii="Arial" w:hAnsi="Arial" w:cs="Arial"/>
          <w:sz w:val="22"/>
          <w:szCs w:val="22"/>
        </w:rPr>
      </w:pPr>
      <w:r w:rsidRPr="00DC7CA9">
        <w:rPr>
          <w:rFonts w:ascii="Arial" w:hAnsi="Arial" w:cs="Arial"/>
          <w:sz w:val="22"/>
          <w:szCs w:val="22"/>
        </w:rPr>
        <w:t xml:space="preserve">Asimismo, las empresas españolas disponen de capacidades para contribuir a los proyectos de interés común europeo (IPCEI) en ámbitos como los de baterías, hidrógeno verde, microprocesadores, </w:t>
      </w:r>
      <w:proofErr w:type="spellStart"/>
      <w:r w:rsidRPr="00DC7CA9">
        <w:rPr>
          <w:rFonts w:ascii="Arial" w:hAnsi="Arial" w:cs="Arial"/>
          <w:sz w:val="22"/>
          <w:szCs w:val="22"/>
        </w:rPr>
        <w:t>cloud</w:t>
      </w:r>
      <w:proofErr w:type="spellEnd"/>
      <w:r w:rsidRPr="00DC7CA9">
        <w:rPr>
          <w:rFonts w:ascii="Arial" w:hAnsi="Arial" w:cs="Arial"/>
          <w:sz w:val="22"/>
          <w:szCs w:val="22"/>
        </w:rPr>
        <w:t>, etc., para lo que estos Proyectos Tractores también ayudarán a preparar al sector industrial español, especialmente atomizado y con un porcentaje enorme de pequeñas o medianas empresas, para su participación en los grandes proyectos colaborativos transnacionales, como puede ser el caso de los IPCEI futuros.</w:t>
      </w:r>
    </w:p>
    <w:p w:rsidR="00517824" w:rsidRPr="00DC7CA9" w:rsidRDefault="00517824" w:rsidP="00D30D66">
      <w:pPr>
        <w:spacing w:before="120" w:after="120" w:line="360" w:lineRule="auto"/>
        <w:rPr>
          <w:rFonts w:ascii="Arial" w:hAnsi="Arial" w:cs="Arial"/>
          <w:b/>
          <w:sz w:val="22"/>
          <w:szCs w:val="22"/>
        </w:rPr>
      </w:pPr>
      <w:r w:rsidRPr="00DC7CA9">
        <w:rPr>
          <w:rFonts w:ascii="Arial" w:hAnsi="Arial" w:cs="Arial"/>
          <w:b/>
          <w:sz w:val="22"/>
          <w:szCs w:val="22"/>
        </w:rPr>
        <w:t xml:space="preserve">3. </w:t>
      </w:r>
      <w:r w:rsidR="00423FD2" w:rsidRPr="00DC7CA9">
        <w:rPr>
          <w:rFonts w:ascii="Arial" w:hAnsi="Arial" w:cs="Arial"/>
          <w:b/>
          <w:sz w:val="22"/>
          <w:szCs w:val="22"/>
        </w:rPr>
        <w:t>PRINCIPALES OBJETIVOS DEL COMPONENTE</w:t>
      </w:r>
    </w:p>
    <w:p w:rsidR="00EB4984" w:rsidRPr="00DC7CA9" w:rsidRDefault="00EB4984" w:rsidP="00D30D66">
      <w:pPr>
        <w:spacing w:before="120" w:after="120" w:line="360" w:lineRule="auto"/>
        <w:ind w:firstLine="708"/>
        <w:jc w:val="both"/>
        <w:rPr>
          <w:rFonts w:ascii="Arial" w:hAnsi="Arial" w:cs="Arial"/>
          <w:sz w:val="22"/>
          <w:szCs w:val="22"/>
        </w:rPr>
      </w:pPr>
      <w:r w:rsidRPr="00DC7CA9">
        <w:rPr>
          <w:rFonts w:ascii="Arial" w:hAnsi="Arial" w:cs="Arial"/>
          <w:sz w:val="22"/>
          <w:szCs w:val="22"/>
        </w:rPr>
        <w:t>El objetivo será impulsar la modernización y la productividad del ecosistema español de industria-servicios, mediante la digitalización de la cadena de valor, el impulso de la productividad, la competitividad y la mejora de la eficiencia energética de los sectores estratégicos claves en la transición ecológica y la transformación digital.</w:t>
      </w:r>
    </w:p>
    <w:p w:rsidR="002D6322" w:rsidRDefault="002D6322" w:rsidP="00D30D66">
      <w:pPr>
        <w:spacing w:before="120" w:after="120" w:line="360" w:lineRule="auto"/>
        <w:jc w:val="both"/>
        <w:rPr>
          <w:rFonts w:ascii="Arial" w:hAnsi="Arial" w:cs="Arial"/>
          <w:bCs/>
          <w:iCs/>
          <w:sz w:val="22"/>
          <w:szCs w:val="22"/>
          <w:lang w:val="es-ES"/>
        </w:rPr>
      </w:pPr>
      <w:r w:rsidRPr="00DC7CA9">
        <w:rPr>
          <w:rFonts w:ascii="Arial" w:hAnsi="Arial" w:cs="Arial"/>
          <w:bCs/>
          <w:iCs/>
          <w:sz w:val="22"/>
          <w:szCs w:val="22"/>
          <w:lang w:val="es-ES"/>
        </w:rPr>
        <w:t xml:space="preserve">Esta estrategia incluye los siguientes objetivos: </w:t>
      </w:r>
    </w:p>
    <w:p w:rsidR="002D6322" w:rsidRPr="00DC7CA9" w:rsidRDefault="002D6322" w:rsidP="00D30D66">
      <w:pPr>
        <w:pStyle w:val="Prrafodelista"/>
        <w:numPr>
          <w:ilvl w:val="0"/>
          <w:numId w:val="4"/>
        </w:numPr>
        <w:spacing w:before="120" w:after="120" w:line="360" w:lineRule="auto"/>
        <w:ind w:left="709" w:hanging="425"/>
        <w:contextualSpacing w:val="0"/>
        <w:jc w:val="both"/>
        <w:rPr>
          <w:rFonts w:ascii="Arial" w:hAnsi="Arial" w:cs="Arial"/>
          <w:bCs/>
          <w:iCs/>
          <w:sz w:val="22"/>
          <w:szCs w:val="22"/>
          <w:lang w:val="es-ES"/>
        </w:rPr>
      </w:pPr>
      <w:r w:rsidRPr="00DC7CA9">
        <w:rPr>
          <w:rFonts w:ascii="Arial" w:hAnsi="Arial" w:cs="Arial"/>
          <w:b/>
          <w:bCs/>
          <w:iCs/>
          <w:sz w:val="22"/>
          <w:szCs w:val="22"/>
          <w:lang w:val="es-ES"/>
        </w:rPr>
        <w:lastRenderedPageBreak/>
        <w:t>Digitalización de</w:t>
      </w:r>
      <w:r w:rsidRPr="00DC7CA9">
        <w:rPr>
          <w:rFonts w:ascii="Arial" w:hAnsi="Arial" w:cs="Arial"/>
          <w:b/>
          <w:sz w:val="22"/>
          <w:szCs w:val="22"/>
          <w:lang w:val="es-ES"/>
        </w:rPr>
        <w:t xml:space="preserve"> sectores estratégicos</w:t>
      </w:r>
      <w:r w:rsidRPr="00DC7CA9">
        <w:rPr>
          <w:rFonts w:ascii="Arial" w:hAnsi="Arial" w:cs="Arial"/>
          <w:bCs/>
          <w:iCs/>
          <w:sz w:val="22"/>
          <w:szCs w:val="22"/>
          <w:lang w:val="es-ES"/>
        </w:rPr>
        <w:t>: salud, automoción, turismo y comercio, además del agroalimentario, estableciendo mecanismos de colaboración público-privada para el desarrollo de soluciones tecnológicas que aumenten la productividad a lo largo de toda la cadena de valor de estos sectores, en los que España cuenta con una posición de liderazgo;</w:t>
      </w:r>
    </w:p>
    <w:p w:rsidR="002D6322" w:rsidRPr="00DC7CA9" w:rsidRDefault="002D6322" w:rsidP="00D30D66">
      <w:pPr>
        <w:pStyle w:val="Prrafodelista"/>
        <w:numPr>
          <w:ilvl w:val="0"/>
          <w:numId w:val="4"/>
        </w:numPr>
        <w:spacing w:before="120" w:after="120" w:line="360" w:lineRule="auto"/>
        <w:ind w:left="709" w:hanging="425"/>
        <w:contextualSpacing w:val="0"/>
        <w:jc w:val="both"/>
        <w:rPr>
          <w:rFonts w:ascii="Arial" w:hAnsi="Arial" w:cs="Arial"/>
          <w:b/>
          <w:bCs/>
          <w:iCs/>
          <w:sz w:val="22"/>
          <w:szCs w:val="22"/>
          <w:lang w:val="es-ES"/>
        </w:rPr>
      </w:pPr>
      <w:r w:rsidRPr="00DC7CA9">
        <w:rPr>
          <w:rFonts w:ascii="Arial" w:hAnsi="Arial" w:cs="Arial"/>
          <w:b/>
          <w:bCs/>
          <w:iCs/>
          <w:sz w:val="22"/>
          <w:szCs w:val="22"/>
          <w:lang w:val="es-ES"/>
        </w:rPr>
        <w:t>Modernización</w:t>
      </w:r>
      <w:r w:rsidRPr="00DC7CA9">
        <w:rPr>
          <w:rFonts w:ascii="Arial" w:hAnsi="Arial" w:cs="Arial"/>
          <w:b/>
          <w:sz w:val="22"/>
          <w:szCs w:val="22"/>
          <w:lang w:val="es-ES"/>
        </w:rPr>
        <w:t xml:space="preserve"> y sostenibilidad de la industria</w:t>
      </w:r>
      <w:r w:rsidRPr="00DC7CA9">
        <w:rPr>
          <w:rFonts w:ascii="Arial" w:hAnsi="Arial" w:cs="Arial"/>
          <w:b/>
          <w:bCs/>
          <w:iCs/>
          <w:sz w:val="22"/>
          <w:szCs w:val="22"/>
          <w:lang w:val="es-ES"/>
        </w:rPr>
        <w:t xml:space="preserve">, </w:t>
      </w:r>
      <w:r w:rsidRPr="00DC7CA9">
        <w:rPr>
          <w:rFonts w:ascii="Arial" w:hAnsi="Arial" w:cs="Arial"/>
          <w:bCs/>
          <w:iCs/>
          <w:sz w:val="22"/>
          <w:szCs w:val="22"/>
          <w:lang w:val="es-ES"/>
        </w:rPr>
        <w:t xml:space="preserve">con especial atención al acompañamiento de la transformación de la industria </w:t>
      </w:r>
      <w:proofErr w:type="spellStart"/>
      <w:r w:rsidRPr="00DC7CA9">
        <w:rPr>
          <w:rFonts w:ascii="Arial" w:hAnsi="Arial" w:cs="Arial"/>
          <w:bCs/>
          <w:iCs/>
          <w:sz w:val="22"/>
          <w:szCs w:val="22"/>
          <w:lang w:val="es-ES"/>
        </w:rPr>
        <w:t>electrointensiva</w:t>
      </w:r>
      <w:proofErr w:type="spellEnd"/>
      <w:r w:rsidRPr="00DC7CA9">
        <w:rPr>
          <w:rFonts w:ascii="Arial" w:hAnsi="Arial" w:cs="Arial"/>
          <w:bCs/>
          <w:iCs/>
          <w:sz w:val="22"/>
          <w:szCs w:val="22"/>
          <w:lang w:val="es-ES"/>
        </w:rPr>
        <w:t>.</w:t>
      </w:r>
    </w:p>
    <w:p w:rsidR="002D6322" w:rsidRPr="00DC7CA9" w:rsidRDefault="002D6322" w:rsidP="00D30D66">
      <w:pPr>
        <w:pStyle w:val="Prrafodelista"/>
        <w:numPr>
          <w:ilvl w:val="0"/>
          <w:numId w:val="4"/>
        </w:numPr>
        <w:spacing w:before="120" w:after="120" w:line="360" w:lineRule="auto"/>
        <w:ind w:left="709" w:hanging="425"/>
        <w:contextualSpacing w:val="0"/>
        <w:jc w:val="both"/>
        <w:rPr>
          <w:rFonts w:ascii="Arial" w:hAnsi="Arial" w:cs="Arial"/>
          <w:bCs/>
          <w:iCs/>
          <w:sz w:val="22"/>
          <w:szCs w:val="22"/>
          <w:lang w:val="es-ES"/>
        </w:rPr>
      </w:pPr>
      <w:r w:rsidRPr="00DC7CA9">
        <w:rPr>
          <w:rFonts w:ascii="Arial" w:hAnsi="Arial" w:cs="Arial"/>
          <w:b/>
          <w:bCs/>
          <w:iCs/>
          <w:sz w:val="22"/>
          <w:szCs w:val="22"/>
          <w:lang w:val="es-ES"/>
        </w:rPr>
        <w:t>Impulso</w:t>
      </w:r>
      <w:r w:rsidRPr="00DC7CA9">
        <w:rPr>
          <w:rFonts w:ascii="Arial" w:hAnsi="Arial" w:cs="Arial"/>
          <w:b/>
          <w:sz w:val="22"/>
          <w:szCs w:val="22"/>
          <w:lang w:val="es-ES"/>
        </w:rPr>
        <w:t xml:space="preserve"> de las industrias tractoras “verdes” y digitales</w:t>
      </w:r>
      <w:r w:rsidRPr="00DC7CA9">
        <w:rPr>
          <w:rFonts w:ascii="Arial" w:hAnsi="Arial" w:cs="Arial"/>
          <w:bCs/>
          <w:iCs/>
          <w:sz w:val="22"/>
          <w:szCs w:val="22"/>
          <w:lang w:val="es-ES"/>
        </w:rPr>
        <w:t xml:space="preserve">, incluyendo los proyectos de interés común europeo; </w:t>
      </w:r>
    </w:p>
    <w:p w:rsidR="002D6322" w:rsidRPr="00DC7CA9" w:rsidRDefault="002D6322" w:rsidP="00D30D66">
      <w:pPr>
        <w:pStyle w:val="Prrafodelista"/>
        <w:numPr>
          <w:ilvl w:val="0"/>
          <w:numId w:val="4"/>
        </w:numPr>
        <w:spacing w:before="120" w:after="120" w:line="360" w:lineRule="auto"/>
        <w:ind w:left="709" w:hanging="425"/>
        <w:contextualSpacing w:val="0"/>
        <w:jc w:val="both"/>
        <w:rPr>
          <w:rFonts w:ascii="Arial" w:hAnsi="Arial" w:cs="Arial"/>
          <w:bCs/>
          <w:iCs/>
          <w:sz w:val="22"/>
          <w:szCs w:val="22"/>
          <w:lang w:val="es-ES"/>
        </w:rPr>
      </w:pPr>
      <w:r w:rsidRPr="00DC7CA9">
        <w:rPr>
          <w:rFonts w:ascii="Arial" w:hAnsi="Arial" w:cs="Arial"/>
          <w:b/>
          <w:sz w:val="22"/>
          <w:szCs w:val="22"/>
          <w:lang w:val="es-ES"/>
        </w:rPr>
        <w:t>Estrategia Española de Economía Circular</w:t>
      </w:r>
      <w:r w:rsidRPr="00DC7CA9">
        <w:rPr>
          <w:rFonts w:ascii="Arial" w:hAnsi="Arial" w:cs="Arial"/>
          <w:bCs/>
          <w:iCs/>
          <w:sz w:val="22"/>
          <w:szCs w:val="22"/>
          <w:lang w:val="es-ES"/>
        </w:rPr>
        <w:t xml:space="preserve"> y modernización del sistema de gestión y tratamiento de residuos.</w:t>
      </w:r>
    </w:p>
    <w:p w:rsidR="00517824" w:rsidRPr="00517824" w:rsidRDefault="00517824" w:rsidP="00D30D66">
      <w:pPr>
        <w:spacing w:before="120" w:after="120" w:line="360" w:lineRule="auto"/>
        <w:rPr>
          <w:rFonts w:ascii="Arial" w:hAnsi="Arial" w:cs="Arial"/>
          <w:b/>
          <w:sz w:val="22"/>
          <w:szCs w:val="22"/>
        </w:rPr>
      </w:pPr>
      <w:r w:rsidRPr="00517824">
        <w:rPr>
          <w:rFonts w:ascii="Arial" w:hAnsi="Arial" w:cs="Arial"/>
          <w:b/>
          <w:sz w:val="22"/>
          <w:szCs w:val="22"/>
        </w:rPr>
        <w:t xml:space="preserve">4. </w:t>
      </w:r>
      <w:r w:rsidR="00423FD2" w:rsidRPr="00517824">
        <w:rPr>
          <w:rFonts w:ascii="Arial" w:hAnsi="Arial" w:cs="Arial"/>
          <w:b/>
          <w:sz w:val="22"/>
          <w:szCs w:val="22"/>
        </w:rPr>
        <w:t>DESCRIPCIÓN DE LA INVERSIÓN</w:t>
      </w:r>
    </w:p>
    <w:p w:rsidR="00EB4984" w:rsidRPr="00DC7CA9" w:rsidRDefault="00EB4984" w:rsidP="00D30D66">
      <w:pPr>
        <w:spacing w:before="120" w:after="120" w:line="360" w:lineRule="auto"/>
        <w:ind w:firstLine="708"/>
        <w:jc w:val="both"/>
        <w:rPr>
          <w:rFonts w:ascii="Arial" w:hAnsi="Arial" w:cs="Arial"/>
          <w:sz w:val="22"/>
          <w:szCs w:val="22"/>
        </w:rPr>
      </w:pPr>
      <w:r w:rsidRPr="00DC7CA9">
        <w:rPr>
          <w:rFonts w:ascii="Arial" w:hAnsi="Arial" w:cs="Arial"/>
          <w:sz w:val="22"/>
          <w:szCs w:val="22"/>
        </w:rPr>
        <w:t xml:space="preserve">La inversión se centra en el apoyo a agrupaciones, consorcios o asociaciones de empresas del sector industrial, incluyendo los servicios industriales, con el objetivo de cubrir la mayor parte de los componentes de las cadenas de valor estratégicas que conforman los ecosistemas de oportunidad definidos por la Comisión Europea. </w:t>
      </w:r>
    </w:p>
    <w:p w:rsidR="00EB4984" w:rsidRPr="00DC7CA9" w:rsidRDefault="00EB4984" w:rsidP="00D30D66">
      <w:pPr>
        <w:spacing w:before="120" w:after="120" w:line="360" w:lineRule="auto"/>
        <w:ind w:firstLine="708"/>
        <w:jc w:val="both"/>
        <w:rPr>
          <w:rFonts w:ascii="Arial" w:hAnsi="Arial" w:cs="Arial"/>
          <w:sz w:val="22"/>
          <w:szCs w:val="22"/>
        </w:rPr>
      </w:pPr>
      <w:r w:rsidRPr="00DC7CA9">
        <w:rPr>
          <w:rFonts w:ascii="Arial" w:hAnsi="Arial" w:cs="Arial"/>
          <w:sz w:val="22"/>
          <w:szCs w:val="22"/>
        </w:rPr>
        <w:t>Estos ecosistemas engloban a todas las partes que operan en una cadena de valor: desde las empresas emergentes más pequeñas hasta las compañías más grandes, desde el mundo académico hasta el personal investigador y desde los prestadores de servicios hasta los proveedores, y cada uno de ellos con sus propias características.</w:t>
      </w:r>
    </w:p>
    <w:p w:rsidR="00EB4984" w:rsidRPr="00DC7CA9" w:rsidRDefault="00EB4984" w:rsidP="00D30D66">
      <w:pPr>
        <w:spacing w:before="120" w:after="120" w:line="360" w:lineRule="auto"/>
        <w:ind w:firstLine="708"/>
        <w:jc w:val="both"/>
        <w:rPr>
          <w:rFonts w:ascii="Arial" w:hAnsi="Arial" w:cs="Arial"/>
          <w:sz w:val="22"/>
          <w:szCs w:val="22"/>
        </w:rPr>
      </w:pPr>
      <w:r w:rsidRPr="00DC7CA9">
        <w:rPr>
          <w:rFonts w:ascii="Arial" w:hAnsi="Arial" w:cs="Arial"/>
          <w:sz w:val="22"/>
          <w:szCs w:val="22"/>
        </w:rPr>
        <w:t xml:space="preserve">Dada la estructura de las empresas industriales en España, uno de los objetivos fundamentales de </w:t>
      </w:r>
      <w:r w:rsidR="00A101B0" w:rsidRPr="00DC7CA9">
        <w:rPr>
          <w:rFonts w:ascii="Arial" w:hAnsi="Arial" w:cs="Arial"/>
          <w:sz w:val="22"/>
          <w:szCs w:val="22"/>
        </w:rPr>
        <w:t>esta</w:t>
      </w:r>
      <w:r w:rsidRPr="00DC7CA9">
        <w:rPr>
          <w:rFonts w:ascii="Arial" w:hAnsi="Arial" w:cs="Arial"/>
          <w:sz w:val="22"/>
          <w:szCs w:val="22"/>
        </w:rPr>
        <w:t xml:space="preserve"> inversión del componente es la colaboración empresarial, especialmente entre pymes y grandes empresas, al objeto de conseguir una mayor capacidad de arrastre de las inversiones y el mayor protagonismo posible para las pymes dentro de los grandes proyectos tractores.</w:t>
      </w:r>
    </w:p>
    <w:p w:rsidR="00EB4984" w:rsidRPr="00DC7CA9" w:rsidRDefault="00EB4984" w:rsidP="00D30D66">
      <w:pPr>
        <w:spacing w:before="120" w:after="120" w:line="360" w:lineRule="auto"/>
        <w:ind w:firstLine="708"/>
        <w:jc w:val="both"/>
        <w:rPr>
          <w:rFonts w:ascii="Arial" w:hAnsi="Arial" w:cs="Arial"/>
          <w:sz w:val="22"/>
          <w:szCs w:val="22"/>
        </w:rPr>
      </w:pPr>
      <w:r w:rsidRPr="00DC7CA9">
        <w:rPr>
          <w:rFonts w:ascii="Arial" w:hAnsi="Arial" w:cs="Arial"/>
          <w:sz w:val="22"/>
          <w:szCs w:val="22"/>
        </w:rPr>
        <w:t xml:space="preserve">Con el objetivo de apoyar ciertas cadenas de valor industrial, la Comisión Europea está actualmente impulsando las iniciativas IPCEI (Proyecto importante de interés común europeo). Los proyectos IPCEI están sujetos al cumplimiento de los términos de la </w:t>
      </w:r>
      <w:hyperlink r:id="rId6" w:tgtFrame="_blank" w:tooltip="Abre en ventana nueva" w:history="1">
        <w:r w:rsidRPr="00DC7CA9">
          <w:rPr>
            <w:rFonts w:ascii="Arial" w:hAnsi="Arial" w:cs="Arial"/>
            <w:sz w:val="22"/>
            <w:szCs w:val="22"/>
          </w:rPr>
          <w:t>Comunicación de la Comisión Europea (2014/C 188/02)</w:t>
        </w:r>
      </w:hyperlink>
      <w:r w:rsidRPr="00DC7CA9">
        <w:rPr>
          <w:rFonts w:ascii="Arial" w:hAnsi="Arial" w:cs="Arial"/>
          <w:sz w:val="22"/>
          <w:szCs w:val="22"/>
        </w:rPr>
        <w:t>, publicada en el DOUE de 20 de junio de 2014.</w:t>
      </w:r>
    </w:p>
    <w:p w:rsidR="00E40A88" w:rsidRDefault="00E40A88" w:rsidP="00D30D66">
      <w:pPr>
        <w:spacing w:before="120" w:after="120" w:line="360" w:lineRule="auto"/>
        <w:ind w:firstLine="360"/>
        <w:jc w:val="both"/>
        <w:rPr>
          <w:rFonts w:ascii="Arial" w:hAnsi="Arial" w:cs="Arial"/>
          <w:sz w:val="22"/>
          <w:szCs w:val="22"/>
        </w:rPr>
      </w:pPr>
      <w:r w:rsidRPr="00DC7CA9">
        <w:rPr>
          <w:rFonts w:ascii="Arial" w:hAnsi="Arial" w:cs="Arial"/>
          <w:sz w:val="22"/>
          <w:szCs w:val="22"/>
        </w:rPr>
        <w:t xml:space="preserve">El Programa de </w:t>
      </w:r>
      <w:r w:rsidR="00DC7CA9" w:rsidRPr="00DC7CA9">
        <w:rPr>
          <w:rFonts w:ascii="Arial" w:hAnsi="Arial" w:cs="Arial"/>
          <w:sz w:val="22"/>
          <w:szCs w:val="22"/>
        </w:rPr>
        <w:t>incluye las siguientes líneas</w:t>
      </w:r>
      <w:r w:rsidRPr="00DC7CA9">
        <w:rPr>
          <w:rFonts w:ascii="Arial" w:hAnsi="Arial" w:cs="Arial"/>
          <w:sz w:val="22"/>
          <w:szCs w:val="22"/>
        </w:rPr>
        <w:t xml:space="preserve">: </w:t>
      </w:r>
    </w:p>
    <w:p w:rsidR="00D30D66" w:rsidRDefault="00D30D66">
      <w:pPr>
        <w:rPr>
          <w:rFonts w:ascii="Arial" w:hAnsi="Arial" w:cs="Arial"/>
          <w:sz w:val="22"/>
          <w:szCs w:val="22"/>
        </w:rPr>
      </w:pPr>
      <w:r>
        <w:rPr>
          <w:rFonts w:ascii="Arial" w:hAnsi="Arial" w:cs="Arial"/>
          <w:sz w:val="22"/>
          <w:szCs w:val="22"/>
        </w:rPr>
        <w:br w:type="page"/>
      </w:r>
    </w:p>
    <w:p w:rsidR="005624D2" w:rsidRPr="00286F40" w:rsidRDefault="00D30D66" w:rsidP="00D30D66">
      <w:pPr>
        <w:pStyle w:val="Prrafodelista"/>
        <w:spacing w:before="120" w:after="120" w:line="360" w:lineRule="auto"/>
        <w:ind w:left="0"/>
        <w:contextualSpacing w:val="0"/>
        <w:jc w:val="both"/>
        <w:rPr>
          <w:rFonts w:ascii="Arial" w:hAnsi="Arial" w:cs="Arial"/>
          <w:b/>
          <w:sz w:val="22"/>
          <w:szCs w:val="22"/>
          <w:lang w:val="es-ES"/>
        </w:rPr>
      </w:pPr>
      <w:r>
        <w:rPr>
          <w:rFonts w:ascii="Arial" w:hAnsi="Arial" w:cs="Arial"/>
          <w:b/>
          <w:sz w:val="22"/>
          <w:szCs w:val="22"/>
          <w:lang w:val="es-ES"/>
        </w:rPr>
        <w:t xml:space="preserve">1. </w:t>
      </w:r>
      <w:r w:rsidR="005624D2" w:rsidRPr="00286F40">
        <w:rPr>
          <w:rFonts w:ascii="Arial" w:hAnsi="Arial" w:cs="Arial"/>
          <w:b/>
          <w:sz w:val="22"/>
          <w:szCs w:val="22"/>
          <w:lang w:val="es-ES"/>
        </w:rPr>
        <w:t>Línea de apoyo a planes de innovación y sostenibilidad, en la que financiará gastos asociados a la implementación de dichos proyectos.</w:t>
      </w:r>
    </w:p>
    <w:p w:rsidR="004C057D" w:rsidRPr="00DC7CA9" w:rsidRDefault="004C057D" w:rsidP="00D30D66">
      <w:pPr>
        <w:spacing w:beforeLines="60" w:before="144" w:afterLines="60" w:after="144" w:line="360" w:lineRule="auto"/>
        <w:ind w:left="708"/>
        <w:jc w:val="both"/>
        <w:rPr>
          <w:rFonts w:ascii="Arial" w:hAnsi="Arial" w:cs="Arial"/>
          <w:sz w:val="22"/>
          <w:szCs w:val="22"/>
          <w:lang w:val="es-ES"/>
        </w:rPr>
      </w:pPr>
      <w:r w:rsidRPr="00DC7CA9">
        <w:rPr>
          <w:rFonts w:ascii="Arial" w:hAnsi="Arial" w:cs="Arial"/>
          <w:sz w:val="22"/>
          <w:szCs w:val="22"/>
          <w:lang w:val="es-ES"/>
        </w:rPr>
        <w:t>Esta línea tiene como objetivo los proyectos individuales de innovación y sostenibilidad en ámbitos claves en la transición industrial como son:</w:t>
      </w:r>
    </w:p>
    <w:p w:rsidR="004C057D" w:rsidRPr="00DC7CA9" w:rsidRDefault="004C057D" w:rsidP="00D30D66">
      <w:pPr>
        <w:pStyle w:val="Prrafodelista"/>
        <w:numPr>
          <w:ilvl w:val="0"/>
          <w:numId w:val="6"/>
        </w:numPr>
        <w:spacing w:beforeLines="60" w:before="144" w:afterLines="60" w:after="144" w:line="360" w:lineRule="auto"/>
        <w:ind w:left="709" w:hanging="283"/>
        <w:contextualSpacing w:val="0"/>
        <w:jc w:val="both"/>
        <w:rPr>
          <w:rFonts w:ascii="Arial" w:hAnsi="Arial" w:cs="Arial"/>
          <w:sz w:val="22"/>
          <w:szCs w:val="22"/>
          <w:lang w:val="es-ES"/>
        </w:rPr>
      </w:pPr>
      <w:r w:rsidRPr="00DC7CA9">
        <w:rPr>
          <w:rFonts w:ascii="Arial" w:hAnsi="Arial" w:cs="Arial"/>
          <w:sz w:val="22"/>
          <w:szCs w:val="22"/>
          <w:lang w:val="es-ES"/>
        </w:rPr>
        <w:t xml:space="preserve">la eficiencia energética </w:t>
      </w:r>
      <w:proofErr w:type="spellStart"/>
      <w:r w:rsidRPr="00DC7CA9">
        <w:rPr>
          <w:rFonts w:ascii="Arial" w:hAnsi="Arial" w:cs="Arial"/>
          <w:sz w:val="22"/>
          <w:szCs w:val="22"/>
          <w:lang w:val="es-ES"/>
        </w:rPr>
        <w:t>descarbonización</w:t>
      </w:r>
      <w:proofErr w:type="spellEnd"/>
      <w:r w:rsidRPr="00DC7CA9">
        <w:rPr>
          <w:rFonts w:ascii="Arial" w:hAnsi="Arial" w:cs="Arial"/>
          <w:sz w:val="22"/>
          <w:szCs w:val="22"/>
          <w:lang w:val="es-ES"/>
        </w:rPr>
        <w:t>, y nuevas fuentes de energía sostenible;</w:t>
      </w:r>
    </w:p>
    <w:p w:rsidR="004C057D" w:rsidRPr="00DC7CA9" w:rsidRDefault="004C057D" w:rsidP="00D30D66">
      <w:pPr>
        <w:pStyle w:val="Prrafodelista"/>
        <w:numPr>
          <w:ilvl w:val="0"/>
          <w:numId w:val="6"/>
        </w:numPr>
        <w:spacing w:beforeLines="60" w:before="144" w:afterLines="60" w:after="144" w:line="360" w:lineRule="auto"/>
        <w:ind w:left="709" w:hanging="283"/>
        <w:contextualSpacing w:val="0"/>
        <w:jc w:val="both"/>
        <w:rPr>
          <w:rFonts w:ascii="Arial" w:hAnsi="Arial" w:cs="Arial"/>
          <w:sz w:val="22"/>
          <w:szCs w:val="22"/>
          <w:lang w:val="es-ES"/>
        </w:rPr>
      </w:pPr>
      <w:r w:rsidRPr="00DC7CA9">
        <w:rPr>
          <w:rFonts w:ascii="Arial" w:hAnsi="Arial" w:cs="Arial"/>
          <w:sz w:val="22"/>
          <w:szCs w:val="22"/>
          <w:lang w:val="es-ES"/>
        </w:rPr>
        <w:t>la economía circular y la eco-innovación, mejora de las cadenas de valor;</w:t>
      </w:r>
    </w:p>
    <w:p w:rsidR="004C057D" w:rsidRPr="00DC7CA9" w:rsidRDefault="004C057D" w:rsidP="00D30D66">
      <w:pPr>
        <w:pStyle w:val="Prrafodelista"/>
        <w:numPr>
          <w:ilvl w:val="0"/>
          <w:numId w:val="6"/>
        </w:numPr>
        <w:spacing w:beforeLines="60" w:before="144" w:afterLines="60" w:after="144" w:line="360" w:lineRule="auto"/>
        <w:ind w:left="709" w:hanging="283"/>
        <w:contextualSpacing w:val="0"/>
        <w:jc w:val="both"/>
        <w:rPr>
          <w:rFonts w:ascii="Arial" w:hAnsi="Arial" w:cs="Arial"/>
          <w:sz w:val="22"/>
          <w:szCs w:val="22"/>
          <w:lang w:val="es-ES"/>
        </w:rPr>
      </w:pPr>
      <w:r w:rsidRPr="00DC7CA9">
        <w:rPr>
          <w:rFonts w:ascii="Arial" w:hAnsi="Arial" w:cs="Arial"/>
          <w:sz w:val="22"/>
          <w:szCs w:val="22"/>
          <w:lang w:val="es-ES"/>
        </w:rPr>
        <w:t xml:space="preserve">materiales y productos avanzados; </w:t>
      </w:r>
    </w:p>
    <w:p w:rsidR="004C057D" w:rsidRPr="00DC7CA9" w:rsidRDefault="004C057D" w:rsidP="00D30D66">
      <w:pPr>
        <w:pStyle w:val="Prrafodelista"/>
        <w:numPr>
          <w:ilvl w:val="0"/>
          <w:numId w:val="6"/>
        </w:numPr>
        <w:spacing w:beforeLines="60" w:before="144" w:afterLines="60" w:after="144" w:line="360" w:lineRule="auto"/>
        <w:ind w:left="709" w:hanging="283"/>
        <w:contextualSpacing w:val="0"/>
        <w:jc w:val="both"/>
        <w:rPr>
          <w:rFonts w:ascii="Arial" w:hAnsi="Arial" w:cs="Arial"/>
          <w:sz w:val="22"/>
          <w:szCs w:val="22"/>
          <w:lang w:val="es-ES"/>
        </w:rPr>
      </w:pPr>
      <w:r w:rsidRPr="00DC7CA9">
        <w:rPr>
          <w:rFonts w:ascii="Arial" w:hAnsi="Arial" w:cs="Arial"/>
          <w:sz w:val="22"/>
          <w:szCs w:val="22"/>
          <w:lang w:val="es-ES"/>
        </w:rPr>
        <w:t>mejora de los procesos de calidad y seguridad industrial.</w:t>
      </w:r>
    </w:p>
    <w:p w:rsidR="005624D2" w:rsidRPr="00D30D66" w:rsidRDefault="00D30D66" w:rsidP="00D30D66">
      <w:pPr>
        <w:spacing w:beforeLines="60" w:before="144" w:afterLines="60" w:after="144" w:line="360" w:lineRule="auto"/>
        <w:jc w:val="both"/>
        <w:rPr>
          <w:rFonts w:ascii="Arial" w:hAnsi="Arial" w:cs="Arial"/>
          <w:b/>
          <w:sz w:val="22"/>
          <w:szCs w:val="22"/>
          <w:lang w:val="es-ES"/>
        </w:rPr>
      </w:pPr>
      <w:r>
        <w:rPr>
          <w:rFonts w:ascii="Arial" w:hAnsi="Arial" w:cs="Arial"/>
          <w:b/>
          <w:sz w:val="22"/>
          <w:szCs w:val="22"/>
          <w:lang w:val="es-ES"/>
        </w:rPr>
        <w:t>2.</w:t>
      </w:r>
      <w:r w:rsidRPr="00D30D66">
        <w:rPr>
          <w:rFonts w:ascii="Arial" w:hAnsi="Arial" w:cs="Arial"/>
          <w:b/>
          <w:sz w:val="22"/>
          <w:szCs w:val="22"/>
          <w:lang w:val="es-ES"/>
        </w:rPr>
        <w:t xml:space="preserve"> </w:t>
      </w:r>
      <w:r w:rsidR="005624D2" w:rsidRPr="00D30D66">
        <w:rPr>
          <w:rFonts w:ascii="Arial" w:hAnsi="Arial" w:cs="Arial"/>
          <w:b/>
          <w:sz w:val="22"/>
          <w:szCs w:val="22"/>
          <w:lang w:val="es-ES"/>
        </w:rPr>
        <w:t>Línea de apoyo a proyectos con entidad propia, de menor alcance, para la implementación de la digitalización en procesos y organización de empresas industriales.</w:t>
      </w:r>
    </w:p>
    <w:p w:rsidR="004C057D" w:rsidRPr="00DC7CA9" w:rsidRDefault="004C057D" w:rsidP="00D30D66">
      <w:pPr>
        <w:pStyle w:val="Prrafodelista"/>
        <w:numPr>
          <w:ilvl w:val="0"/>
          <w:numId w:val="6"/>
        </w:numPr>
        <w:spacing w:beforeLines="60" w:before="144" w:afterLines="60" w:after="144" w:line="360" w:lineRule="auto"/>
        <w:ind w:left="709" w:hanging="283"/>
        <w:contextualSpacing w:val="0"/>
        <w:jc w:val="both"/>
        <w:rPr>
          <w:rFonts w:ascii="Arial" w:hAnsi="Arial" w:cs="Arial"/>
          <w:sz w:val="22"/>
          <w:szCs w:val="22"/>
          <w:lang w:val="es-ES"/>
        </w:rPr>
      </w:pPr>
      <w:r w:rsidRPr="00DC7CA9">
        <w:rPr>
          <w:rFonts w:ascii="Arial" w:hAnsi="Arial" w:cs="Arial"/>
          <w:sz w:val="22"/>
          <w:szCs w:val="22"/>
          <w:lang w:val="es-ES"/>
        </w:rPr>
        <w:t xml:space="preserve">plataformas de interconexión de la cadena de valor de la empresa; </w:t>
      </w:r>
    </w:p>
    <w:p w:rsidR="004C057D" w:rsidRPr="00DC7CA9" w:rsidRDefault="004C057D" w:rsidP="00D30D66">
      <w:pPr>
        <w:pStyle w:val="Prrafodelista"/>
        <w:numPr>
          <w:ilvl w:val="0"/>
          <w:numId w:val="6"/>
        </w:numPr>
        <w:spacing w:beforeLines="60" w:before="144" w:afterLines="60" w:after="144" w:line="360" w:lineRule="auto"/>
        <w:ind w:left="709" w:hanging="283"/>
        <w:contextualSpacing w:val="0"/>
        <w:jc w:val="both"/>
        <w:rPr>
          <w:rFonts w:ascii="Arial" w:hAnsi="Arial" w:cs="Arial"/>
          <w:sz w:val="22"/>
          <w:szCs w:val="22"/>
          <w:lang w:val="es-ES"/>
        </w:rPr>
      </w:pPr>
      <w:r w:rsidRPr="00DC7CA9">
        <w:rPr>
          <w:rFonts w:ascii="Arial" w:hAnsi="Arial" w:cs="Arial"/>
          <w:sz w:val="22"/>
          <w:szCs w:val="22"/>
          <w:lang w:val="es-ES"/>
        </w:rPr>
        <w:t xml:space="preserve">soluciones para el tratamiento avanzado de datos; </w:t>
      </w:r>
    </w:p>
    <w:p w:rsidR="004C057D" w:rsidRPr="00DC7CA9" w:rsidRDefault="004C057D" w:rsidP="00D30D66">
      <w:pPr>
        <w:pStyle w:val="Prrafodelista"/>
        <w:numPr>
          <w:ilvl w:val="0"/>
          <w:numId w:val="6"/>
        </w:numPr>
        <w:spacing w:beforeLines="60" w:before="144" w:afterLines="60" w:after="144" w:line="360" w:lineRule="auto"/>
        <w:ind w:left="709" w:hanging="283"/>
        <w:contextualSpacing w:val="0"/>
        <w:jc w:val="both"/>
        <w:rPr>
          <w:rFonts w:ascii="Arial" w:hAnsi="Arial" w:cs="Arial"/>
          <w:sz w:val="22"/>
          <w:szCs w:val="22"/>
          <w:lang w:val="es-ES"/>
        </w:rPr>
      </w:pPr>
      <w:r w:rsidRPr="00DC7CA9">
        <w:rPr>
          <w:rFonts w:ascii="Arial" w:hAnsi="Arial" w:cs="Arial"/>
          <w:sz w:val="22"/>
          <w:szCs w:val="22"/>
          <w:lang w:val="es-ES"/>
        </w:rPr>
        <w:t xml:space="preserve">soluciones de inteligencia artificial; </w:t>
      </w:r>
    </w:p>
    <w:p w:rsidR="004C057D" w:rsidRPr="00DC7CA9" w:rsidRDefault="004C057D" w:rsidP="00D30D66">
      <w:pPr>
        <w:pStyle w:val="Prrafodelista"/>
        <w:numPr>
          <w:ilvl w:val="0"/>
          <w:numId w:val="6"/>
        </w:numPr>
        <w:spacing w:beforeLines="60" w:before="144" w:afterLines="60" w:after="144" w:line="360" w:lineRule="auto"/>
        <w:ind w:left="709" w:hanging="283"/>
        <w:contextualSpacing w:val="0"/>
        <w:jc w:val="both"/>
        <w:rPr>
          <w:rFonts w:ascii="Arial" w:hAnsi="Arial" w:cs="Arial"/>
          <w:sz w:val="22"/>
          <w:szCs w:val="22"/>
          <w:lang w:val="es-ES"/>
        </w:rPr>
      </w:pPr>
      <w:r w:rsidRPr="00DC7CA9">
        <w:rPr>
          <w:rFonts w:ascii="Arial" w:hAnsi="Arial" w:cs="Arial"/>
          <w:sz w:val="22"/>
          <w:szCs w:val="22"/>
          <w:lang w:val="es-ES"/>
        </w:rPr>
        <w:t xml:space="preserve">proyectos de simulación industrial; </w:t>
      </w:r>
    </w:p>
    <w:p w:rsidR="004C057D" w:rsidRPr="00DC7CA9" w:rsidRDefault="004C057D" w:rsidP="00D30D66">
      <w:pPr>
        <w:pStyle w:val="Prrafodelista"/>
        <w:numPr>
          <w:ilvl w:val="0"/>
          <w:numId w:val="6"/>
        </w:numPr>
        <w:spacing w:beforeLines="60" w:before="144" w:afterLines="60" w:after="144" w:line="360" w:lineRule="auto"/>
        <w:ind w:left="709" w:hanging="283"/>
        <w:contextualSpacing w:val="0"/>
        <w:jc w:val="both"/>
        <w:rPr>
          <w:rFonts w:ascii="Arial" w:hAnsi="Arial" w:cs="Arial"/>
          <w:sz w:val="22"/>
          <w:szCs w:val="22"/>
          <w:lang w:val="es-ES"/>
        </w:rPr>
      </w:pPr>
      <w:r w:rsidRPr="00DC7CA9">
        <w:rPr>
          <w:rFonts w:ascii="Arial" w:hAnsi="Arial" w:cs="Arial"/>
          <w:sz w:val="22"/>
          <w:szCs w:val="22"/>
          <w:lang w:val="es-ES"/>
        </w:rPr>
        <w:t xml:space="preserve">diseño y fabricación aditiva; </w:t>
      </w:r>
    </w:p>
    <w:p w:rsidR="004C057D" w:rsidRPr="00DC7CA9" w:rsidRDefault="004C057D" w:rsidP="00D30D66">
      <w:pPr>
        <w:pStyle w:val="Prrafodelista"/>
        <w:numPr>
          <w:ilvl w:val="0"/>
          <w:numId w:val="6"/>
        </w:numPr>
        <w:spacing w:beforeLines="60" w:before="144" w:afterLines="60" w:after="144" w:line="360" w:lineRule="auto"/>
        <w:ind w:left="709" w:hanging="283"/>
        <w:contextualSpacing w:val="0"/>
        <w:jc w:val="both"/>
        <w:rPr>
          <w:rFonts w:ascii="Arial" w:hAnsi="Arial" w:cs="Arial"/>
          <w:sz w:val="22"/>
          <w:szCs w:val="22"/>
          <w:lang w:val="es-ES"/>
        </w:rPr>
      </w:pPr>
      <w:r w:rsidRPr="00DC7CA9">
        <w:rPr>
          <w:rFonts w:ascii="Arial" w:hAnsi="Arial" w:cs="Arial"/>
          <w:sz w:val="22"/>
          <w:szCs w:val="22"/>
          <w:lang w:val="es-ES"/>
        </w:rPr>
        <w:t xml:space="preserve">proyectos industriales de realidad aumentada, realidad virtual y visión artificial; </w:t>
      </w:r>
    </w:p>
    <w:p w:rsidR="004C057D" w:rsidRPr="00DC7CA9" w:rsidRDefault="004C057D" w:rsidP="00D30D66">
      <w:pPr>
        <w:pStyle w:val="Prrafodelista"/>
        <w:numPr>
          <w:ilvl w:val="0"/>
          <w:numId w:val="6"/>
        </w:numPr>
        <w:spacing w:beforeLines="60" w:before="144" w:afterLines="60" w:after="144" w:line="360" w:lineRule="auto"/>
        <w:ind w:left="709" w:hanging="283"/>
        <w:contextualSpacing w:val="0"/>
        <w:jc w:val="both"/>
        <w:rPr>
          <w:rFonts w:ascii="Arial" w:hAnsi="Arial" w:cs="Arial"/>
          <w:sz w:val="22"/>
          <w:szCs w:val="22"/>
          <w:lang w:val="es-ES"/>
        </w:rPr>
      </w:pPr>
      <w:r w:rsidRPr="00DC7CA9">
        <w:rPr>
          <w:rFonts w:ascii="Arial" w:hAnsi="Arial" w:cs="Arial"/>
          <w:sz w:val="22"/>
          <w:szCs w:val="22"/>
          <w:lang w:val="es-ES"/>
        </w:rPr>
        <w:t xml:space="preserve">robótica colaborativa y cognitiva; </w:t>
      </w:r>
    </w:p>
    <w:p w:rsidR="004C057D" w:rsidRPr="00DC7CA9" w:rsidRDefault="004C057D" w:rsidP="00D30D66">
      <w:pPr>
        <w:pStyle w:val="Prrafodelista"/>
        <w:numPr>
          <w:ilvl w:val="0"/>
          <w:numId w:val="6"/>
        </w:numPr>
        <w:spacing w:beforeLines="60" w:before="144" w:afterLines="60" w:after="144" w:line="360" w:lineRule="auto"/>
        <w:ind w:left="709" w:hanging="283"/>
        <w:contextualSpacing w:val="0"/>
        <w:jc w:val="both"/>
        <w:rPr>
          <w:rFonts w:ascii="Arial" w:hAnsi="Arial" w:cs="Arial"/>
          <w:sz w:val="22"/>
          <w:szCs w:val="22"/>
          <w:lang w:val="es-ES"/>
        </w:rPr>
      </w:pPr>
      <w:proofErr w:type="spellStart"/>
      <w:r w:rsidRPr="00DC7CA9">
        <w:rPr>
          <w:rFonts w:ascii="Arial" w:hAnsi="Arial" w:cs="Arial"/>
          <w:sz w:val="22"/>
          <w:szCs w:val="22"/>
          <w:lang w:val="es-ES"/>
        </w:rPr>
        <w:t>sensórica</w:t>
      </w:r>
      <w:proofErr w:type="spellEnd"/>
      <w:r w:rsidRPr="00DC7CA9">
        <w:rPr>
          <w:rFonts w:ascii="Arial" w:hAnsi="Arial" w:cs="Arial"/>
          <w:sz w:val="22"/>
          <w:szCs w:val="22"/>
          <w:lang w:val="es-ES"/>
        </w:rPr>
        <w:t>.</w:t>
      </w:r>
    </w:p>
    <w:p w:rsidR="005624D2" w:rsidRPr="00B94E3B" w:rsidRDefault="005624D2" w:rsidP="00D30D66">
      <w:pPr>
        <w:spacing w:before="120" w:after="120" w:line="360" w:lineRule="auto"/>
        <w:ind w:firstLine="708"/>
        <w:jc w:val="both"/>
        <w:rPr>
          <w:rFonts w:ascii="Arial" w:hAnsi="Arial" w:cs="Arial"/>
          <w:sz w:val="22"/>
          <w:szCs w:val="22"/>
        </w:rPr>
      </w:pPr>
      <w:r w:rsidRPr="00B94E3B">
        <w:rPr>
          <w:rFonts w:ascii="Arial" w:hAnsi="Arial" w:cs="Arial"/>
          <w:sz w:val="22"/>
          <w:szCs w:val="22"/>
        </w:rPr>
        <w:t>Esta inversión tiene la ambición de abordar iniciativas para la generación de conocimiento, el desarrollo tecnológico y la innovación, a</w:t>
      </w:r>
      <w:r w:rsidR="004F4BF7">
        <w:rPr>
          <w:rFonts w:ascii="Arial" w:hAnsi="Arial" w:cs="Arial"/>
          <w:sz w:val="22"/>
          <w:szCs w:val="22"/>
        </w:rPr>
        <w:t xml:space="preserve"> </w:t>
      </w:r>
      <w:r w:rsidRPr="00B94E3B">
        <w:rPr>
          <w:rFonts w:ascii="Arial" w:hAnsi="Arial" w:cs="Arial"/>
          <w:sz w:val="22"/>
          <w:szCs w:val="22"/>
        </w:rPr>
        <w:t>lo largo de toda la cadena de valor en distintos sectores industriales estratégicos para la economía española, de forma que permitan fortalecer su competitividad y sostenibilidad, en un claro compromiso con la transformación ecológica y digital de los sectores objetivo. Por ello, para las acciones que se financiarán dentro de la inversión C12.I2, se asegurará el cumplimiento del principio “de no perjuicio significativo” (DNSH), estableciendo su cumplimiento como un criterio de elegibilidad en los convenios, convocatorias, licitaciones o cualquier otro mecanismo que se prevea para la implementación de la inversión. Este criterio y su cumplimiento será evaluado por personal experto formado en los principios de la taxonomía específica.</w:t>
      </w:r>
    </w:p>
    <w:p w:rsidR="00517824" w:rsidRPr="00B94E3B" w:rsidRDefault="005624D2" w:rsidP="00D30D66">
      <w:pPr>
        <w:spacing w:before="120" w:after="120" w:line="360" w:lineRule="auto"/>
        <w:ind w:firstLine="708"/>
        <w:jc w:val="both"/>
        <w:rPr>
          <w:rFonts w:ascii="Arial" w:hAnsi="Arial" w:cs="Arial"/>
          <w:sz w:val="22"/>
          <w:szCs w:val="22"/>
        </w:rPr>
      </w:pPr>
      <w:r w:rsidRPr="00B94E3B">
        <w:rPr>
          <w:rFonts w:ascii="Arial" w:hAnsi="Arial" w:cs="Arial"/>
          <w:sz w:val="22"/>
          <w:szCs w:val="22"/>
        </w:rPr>
        <w:t>No se compensarán los costes indirectos imputables a las emisiones de gases de efecto invernadero</w:t>
      </w:r>
      <w:r w:rsidR="004F4BF7">
        <w:rPr>
          <w:rFonts w:ascii="Arial" w:hAnsi="Arial" w:cs="Arial"/>
          <w:sz w:val="22"/>
          <w:szCs w:val="22"/>
        </w:rPr>
        <w:t xml:space="preserve"> </w:t>
      </w:r>
      <w:r w:rsidRPr="00B94E3B">
        <w:rPr>
          <w:rFonts w:ascii="Arial" w:hAnsi="Arial" w:cs="Arial"/>
          <w:sz w:val="22"/>
          <w:szCs w:val="22"/>
        </w:rPr>
        <w:t>debidos al régimen para el comercio de derechos de emisión de gases de efecto invernadero en la UE (ETS) y repercutidos en los precios de la electricidad.</w:t>
      </w:r>
    </w:p>
    <w:p w:rsidR="00517824" w:rsidRPr="00517824" w:rsidRDefault="00517824" w:rsidP="00D30D66">
      <w:pPr>
        <w:spacing w:before="120" w:after="120" w:line="360" w:lineRule="auto"/>
        <w:rPr>
          <w:rFonts w:ascii="Arial" w:hAnsi="Arial" w:cs="Arial"/>
          <w:b/>
          <w:sz w:val="22"/>
          <w:szCs w:val="22"/>
        </w:rPr>
      </w:pPr>
      <w:r w:rsidRPr="00517824">
        <w:rPr>
          <w:rFonts w:ascii="Arial" w:hAnsi="Arial" w:cs="Arial"/>
          <w:b/>
          <w:sz w:val="22"/>
          <w:szCs w:val="22"/>
        </w:rPr>
        <w:t xml:space="preserve">5. </w:t>
      </w:r>
      <w:r w:rsidR="00423FD2" w:rsidRPr="00517824">
        <w:rPr>
          <w:rFonts w:ascii="Arial" w:hAnsi="Arial" w:cs="Arial"/>
          <w:b/>
          <w:sz w:val="22"/>
          <w:szCs w:val="22"/>
        </w:rPr>
        <w:t>COSTE DE LA INVERSIÓN Y DISTRIBUCIÓN ANUALIZADA</w:t>
      </w:r>
    </w:p>
    <w:p w:rsidR="00844808" w:rsidRPr="00D30D66" w:rsidRDefault="00844808" w:rsidP="00D30D66">
      <w:pPr>
        <w:spacing w:before="100"/>
        <w:ind w:left="426" w:right="141"/>
        <w:jc w:val="right"/>
        <w:rPr>
          <w:rFonts w:ascii="Arial" w:hAnsi="Arial" w:cs="Arial"/>
          <w:b/>
          <w:sz w:val="18"/>
          <w:szCs w:val="18"/>
        </w:rPr>
      </w:pPr>
      <w:r w:rsidRPr="00D30D66">
        <w:rPr>
          <w:rFonts w:ascii="Arial" w:hAnsi="Arial" w:cs="Arial"/>
          <w:b/>
          <w:sz w:val="18"/>
          <w:szCs w:val="18"/>
        </w:rPr>
        <w:t>(Miles de euros)</w:t>
      </w:r>
    </w:p>
    <w:tbl>
      <w:tblPr>
        <w:tblStyle w:val="Tablaconcuadrcula"/>
        <w:tblW w:w="8675" w:type="dxa"/>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59"/>
        <w:gridCol w:w="827"/>
        <w:gridCol w:w="827"/>
        <w:gridCol w:w="827"/>
        <w:gridCol w:w="827"/>
        <w:gridCol w:w="827"/>
        <w:gridCol w:w="827"/>
        <w:gridCol w:w="827"/>
        <w:gridCol w:w="827"/>
      </w:tblGrid>
      <w:tr w:rsidR="00B94E3B" w:rsidRPr="00B94E3B" w:rsidTr="00D30D66">
        <w:trPr>
          <w:trHeight w:val="344"/>
          <w:tblHeader/>
        </w:trPr>
        <w:tc>
          <w:tcPr>
            <w:tcW w:w="2133" w:type="dxa"/>
            <w:vAlign w:val="center"/>
          </w:tcPr>
          <w:p w:rsidR="00517824" w:rsidRPr="00D30D66" w:rsidRDefault="00517824" w:rsidP="00D30D66">
            <w:pPr>
              <w:spacing w:before="120" w:after="120"/>
              <w:ind w:left="31"/>
              <w:jc w:val="center"/>
              <w:rPr>
                <w:rFonts w:ascii="Arial" w:hAnsi="Arial" w:cs="Arial"/>
                <w:b/>
                <w:caps/>
                <w:sz w:val="18"/>
                <w:szCs w:val="18"/>
              </w:rPr>
            </w:pPr>
            <w:r w:rsidRPr="00D30D66">
              <w:rPr>
                <w:rFonts w:ascii="Arial" w:hAnsi="Arial" w:cs="Arial"/>
                <w:b/>
                <w:caps/>
                <w:sz w:val="18"/>
                <w:szCs w:val="18"/>
              </w:rPr>
              <w:t>Periodificación</w:t>
            </w:r>
          </w:p>
        </w:tc>
        <w:tc>
          <w:tcPr>
            <w:tcW w:w="851" w:type="dxa"/>
            <w:vAlign w:val="center"/>
          </w:tcPr>
          <w:p w:rsidR="00517824" w:rsidRPr="00B94E3B" w:rsidRDefault="00517824" w:rsidP="00D30D66">
            <w:pPr>
              <w:spacing w:before="120" w:after="120"/>
              <w:ind w:left="-83"/>
              <w:jc w:val="center"/>
              <w:rPr>
                <w:rFonts w:ascii="Arial" w:hAnsi="Arial" w:cs="Arial"/>
                <w:b/>
                <w:sz w:val="18"/>
                <w:szCs w:val="18"/>
              </w:rPr>
            </w:pPr>
            <w:r w:rsidRPr="00B94E3B">
              <w:rPr>
                <w:rFonts w:ascii="Arial" w:hAnsi="Arial" w:cs="Arial"/>
                <w:b/>
                <w:sz w:val="18"/>
                <w:szCs w:val="18"/>
              </w:rPr>
              <w:t>2020</w:t>
            </w:r>
          </w:p>
        </w:tc>
        <w:tc>
          <w:tcPr>
            <w:tcW w:w="851" w:type="dxa"/>
            <w:vAlign w:val="center"/>
          </w:tcPr>
          <w:p w:rsidR="00517824" w:rsidRPr="00B94E3B" w:rsidRDefault="00517824" w:rsidP="00D30D66">
            <w:pPr>
              <w:spacing w:before="120" w:after="120"/>
              <w:ind w:left="-83"/>
              <w:jc w:val="center"/>
              <w:rPr>
                <w:rFonts w:ascii="Arial" w:hAnsi="Arial" w:cs="Arial"/>
                <w:b/>
                <w:sz w:val="18"/>
                <w:szCs w:val="18"/>
              </w:rPr>
            </w:pPr>
            <w:r w:rsidRPr="00B94E3B">
              <w:rPr>
                <w:rFonts w:ascii="Arial" w:hAnsi="Arial" w:cs="Arial"/>
                <w:b/>
                <w:sz w:val="18"/>
                <w:szCs w:val="18"/>
              </w:rPr>
              <w:t>2021</w:t>
            </w:r>
          </w:p>
        </w:tc>
        <w:tc>
          <w:tcPr>
            <w:tcW w:w="851" w:type="dxa"/>
            <w:vAlign w:val="center"/>
          </w:tcPr>
          <w:p w:rsidR="00517824" w:rsidRPr="00B94E3B" w:rsidRDefault="00517824" w:rsidP="00D30D66">
            <w:pPr>
              <w:spacing w:before="120" w:after="120"/>
              <w:ind w:left="-83"/>
              <w:jc w:val="center"/>
              <w:rPr>
                <w:rFonts w:ascii="Arial" w:hAnsi="Arial" w:cs="Arial"/>
                <w:b/>
                <w:sz w:val="18"/>
                <w:szCs w:val="18"/>
              </w:rPr>
            </w:pPr>
            <w:r w:rsidRPr="00B94E3B">
              <w:rPr>
                <w:rFonts w:ascii="Arial" w:hAnsi="Arial" w:cs="Arial"/>
                <w:b/>
                <w:sz w:val="18"/>
                <w:szCs w:val="18"/>
              </w:rPr>
              <w:t>2022</w:t>
            </w:r>
          </w:p>
        </w:tc>
        <w:tc>
          <w:tcPr>
            <w:tcW w:w="851" w:type="dxa"/>
            <w:vAlign w:val="center"/>
          </w:tcPr>
          <w:p w:rsidR="00517824" w:rsidRPr="00B94E3B" w:rsidRDefault="00517824" w:rsidP="00D30D66">
            <w:pPr>
              <w:spacing w:before="120" w:after="120"/>
              <w:ind w:left="-83"/>
              <w:jc w:val="center"/>
              <w:rPr>
                <w:rFonts w:ascii="Arial" w:hAnsi="Arial" w:cs="Arial"/>
                <w:b/>
                <w:sz w:val="18"/>
                <w:szCs w:val="18"/>
              </w:rPr>
            </w:pPr>
            <w:r w:rsidRPr="00B94E3B">
              <w:rPr>
                <w:rFonts w:ascii="Arial" w:hAnsi="Arial" w:cs="Arial"/>
                <w:b/>
                <w:sz w:val="18"/>
                <w:szCs w:val="18"/>
              </w:rPr>
              <w:t>2023</w:t>
            </w:r>
          </w:p>
        </w:tc>
        <w:tc>
          <w:tcPr>
            <w:tcW w:w="851" w:type="dxa"/>
            <w:vAlign w:val="center"/>
          </w:tcPr>
          <w:p w:rsidR="00517824" w:rsidRPr="00B94E3B" w:rsidRDefault="00517824" w:rsidP="00D30D66">
            <w:pPr>
              <w:spacing w:before="120" w:after="120"/>
              <w:ind w:left="-83"/>
              <w:jc w:val="center"/>
              <w:rPr>
                <w:rFonts w:ascii="Arial" w:hAnsi="Arial" w:cs="Arial"/>
                <w:b/>
                <w:sz w:val="18"/>
                <w:szCs w:val="18"/>
              </w:rPr>
            </w:pPr>
            <w:r w:rsidRPr="00B94E3B">
              <w:rPr>
                <w:rFonts w:ascii="Arial" w:hAnsi="Arial" w:cs="Arial"/>
                <w:b/>
                <w:sz w:val="18"/>
                <w:szCs w:val="18"/>
              </w:rPr>
              <w:t>2024</w:t>
            </w:r>
          </w:p>
        </w:tc>
        <w:tc>
          <w:tcPr>
            <w:tcW w:w="851" w:type="dxa"/>
            <w:vAlign w:val="center"/>
          </w:tcPr>
          <w:p w:rsidR="00517824" w:rsidRPr="00B94E3B" w:rsidRDefault="00517824" w:rsidP="00D30D66">
            <w:pPr>
              <w:spacing w:before="120" w:after="120"/>
              <w:ind w:left="-83"/>
              <w:jc w:val="center"/>
              <w:rPr>
                <w:rFonts w:ascii="Arial" w:hAnsi="Arial" w:cs="Arial"/>
                <w:b/>
                <w:sz w:val="18"/>
                <w:szCs w:val="18"/>
              </w:rPr>
            </w:pPr>
            <w:r w:rsidRPr="00B94E3B">
              <w:rPr>
                <w:rFonts w:ascii="Arial" w:hAnsi="Arial" w:cs="Arial"/>
                <w:b/>
                <w:sz w:val="18"/>
                <w:szCs w:val="18"/>
              </w:rPr>
              <w:t>2025</w:t>
            </w:r>
          </w:p>
        </w:tc>
        <w:tc>
          <w:tcPr>
            <w:tcW w:w="851" w:type="dxa"/>
            <w:vAlign w:val="center"/>
          </w:tcPr>
          <w:p w:rsidR="00517824" w:rsidRPr="00B94E3B" w:rsidRDefault="00517824" w:rsidP="00D30D66">
            <w:pPr>
              <w:spacing w:before="120" w:after="120"/>
              <w:ind w:left="-83"/>
              <w:jc w:val="center"/>
              <w:rPr>
                <w:rFonts w:ascii="Arial" w:hAnsi="Arial" w:cs="Arial"/>
                <w:b/>
                <w:sz w:val="18"/>
                <w:szCs w:val="18"/>
              </w:rPr>
            </w:pPr>
            <w:r w:rsidRPr="00B94E3B">
              <w:rPr>
                <w:rFonts w:ascii="Arial" w:hAnsi="Arial" w:cs="Arial"/>
                <w:b/>
                <w:sz w:val="18"/>
                <w:szCs w:val="18"/>
              </w:rPr>
              <w:t>2026</w:t>
            </w:r>
          </w:p>
        </w:tc>
        <w:tc>
          <w:tcPr>
            <w:tcW w:w="851" w:type="dxa"/>
            <w:vAlign w:val="center"/>
          </w:tcPr>
          <w:p w:rsidR="00517824" w:rsidRPr="00B94E3B" w:rsidRDefault="00517824" w:rsidP="00D30D66">
            <w:pPr>
              <w:spacing w:before="120" w:after="120"/>
              <w:ind w:left="-83"/>
              <w:jc w:val="center"/>
              <w:rPr>
                <w:rFonts w:ascii="Arial" w:hAnsi="Arial" w:cs="Arial"/>
                <w:b/>
                <w:sz w:val="18"/>
                <w:szCs w:val="18"/>
              </w:rPr>
            </w:pPr>
            <w:r w:rsidRPr="00B94E3B">
              <w:rPr>
                <w:rFonts w:ascii="Arial" w:hAnsi="Arial" w:cs="Arial"/>
                <w:b/>
                <w:sz w:val="18"/>
                <w:szCs w:val="18"/>
              </w:rPr>
              <w:t>Total</w:t>
            </w:r>
          </w:p>
        </w:tc>
      </w:tr>
      <w:tr w:rsidR="00B94E3B" w:rsidRPr="00B94E3B" w:rsidTr="00D30D66">
        <w:trPr>
          <w:trHeight w:hRule="exact" w:val="347"/>
        </w:trPr>
        <w:tc>
          <w:tcPr>
            <w:tcW w:w="2133" w:type="dxa"/>
            <w:vAlign w:val="center"/>
          </w:tcPr>
          <w:p w:rsidR="00517824" w:rsidRPr="00D30D66" w:rsidRDefault="00517824" w:rsidP="00517824">
            <w:pPr>
              <w:ind w:left="31"/>
              <w:rPr>
                <w:rFonts w:ascii="Arial" w:hAnsi="Arial" w:cs="Arial"/>
                <w:sz w:val="18"/>
                <w:szCs w:val="18"/>
              </w:rPr>
            </w:pPr>
            <w:r w:rsidRPr="00D30D66">
              <w:rPr>
                <w:rFonts w:ascii="Arial" w:hAnsi="Arial" w:cs="Arial"/>
                <w:sz w:val="18"/>
                <w:szCs w:val="18"/>
              </w:rPr>
              <w:t>Coste del Mecanismo</w:t>
            </w:r>
          </w:p>
        </w:tc>
        <w:tc>
          <w:tcPr>
            <w:tcW w:w="851" w:type="dxa"/>
            <w:vAlign w:val="center"/>
          </w:tcPr>
          <w:p w:rsidR="00517824" w:rsidRPr="00B94E3B" w:rsidRDefault="00517824" w:rsidP="00517824">
            <w:pPr>
              <w:ind w:left="-83"/>
              <w:jc w:val="right"/>
              <w:rPr>
                <w:rFonts w:ascii="Arial" w:hAnsi="Arial" w:cs="Arial"/>
                <w:sz w:val="18"/>
                <w:szCs w:val="18"/>
              </w:rPr>
            </w:pPr>
            <w:r w:rsidRPr="00B94E3B">
              <w:rPr>
                <w:rFonts w:ascii="Arial" w:hAnsi="Arial" w:cs="Arial"/>
                <w:sz w:val="18"/>
                <w:szCs w:val="18"/>
              </w:rPr>
              <w:fldChar w:fldCharType="begin">
                <w:ffData>
                  <w:name w:val=""/>
                  <w:enabled/>
                  <w:calcOnExit w:val="0"/>
                  <w:textInput>
                    <w:type w:val="number"/>
                  </w:textInput>
                </w:ffData>
              </w:fldChar>
            </w:r>
            <w:r w:rsidRPr="00B94E3B">
              <w:rPr>
                <w:rFonts w:ascii="Arial" w:hAnsi="Arial" w:cs="Arial"/>
                <w:sz w:val="18"/>
                <w:szCs w:val="18"/>
              </w:rPr>
              <w:instrText xml:space="preserve"> FORMTEXT </w:instrText>
            </w:r>
            <w:r w:rsidRPr="00B94E3B">
              <w:rPr>
                <w:rFonts w:ascii="Arial" w:hAnsi="Arial" w:cs="Arial"/>
                <w:sz w:val="18"/>
                <w:szCs w:val="18"/>
              </w:rPr>
            </w:r>
            <w:r w:rsidRPr="00B94E3B">
              <w:rPr>
                <w:rFonts w:ascii="Arial" w:hAnsi="Arial" w:cs="Arial"/>
                <w:sz w:val="18"/>
                <w:szCs w:val="18"/>
              </w:rPr>
              <w:fldChar w:fldCharType="separate"/>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sz w:val="18"/>
                <w:szCs w:val="18"/>
              </w:rPr>
              <w:fldChar w:fldCharType="end"/>
            </w:r>
          </w:p>
        </w:tc>
        <w:tc>
          <w:tcPr>
            <w:tcW w:w="851" w:type="dxa"/>
            <w:vAlign w:val="center"/>
          </w:tcPr>
          <w:p w:rsidR="00517824" w:rsidRPr="00B94E3B" w:rsidRDefault="00844808" w:rsidP="00517824">
            <w:pPr>
              <w:ind w:left="-83"/>
              <w:jc w:val="right"/>
              <w:rPr>
                <w:rFonts w:ascii="Arial" w:hAnsi="Arial" w:cs="Arial"/>
                <w:noProof/>
                <w:sz w:val="18"/>
                <w:szCs w:val="18"/>
              </w:rPr>
            </w:pPr>
            <w:r>
              <w:rPr>
                <w:rFonts w:ascii="Arial" w:hAnsi="Arial" w:cs="Arial"/>
                <w:noProof/>
                <w:sz w:val="18"/>
                <w:szCs w:val="18"/>
              </w:rPr>
              <w:t>120.000</w:t>
            </w:r>
          </w:p>
        </w:tc>
        <w:tc>
          <w:tcPr>
            <w:tcW w:w="851" w:type="dxa"/>
            <w:vAlign w:val="center"/>
          </w:tcPr>
          <w:p w:rsidR="00517824" w:rsidRPr="00B94E3B" w:rsidRDefault="00844808" w:rsidP="00BB047B">
            <w:pPr>
              <w:ind w:left="-83"/>
              <w:jc w:val="right"/>
              <w:rPr>
                <w:rFonts w:ascii="Arial" w:hAnsi="Arial" w:cs="Arial"/>
                <w:noProof/>
                <w:sz w:val="18"/>
                <w:szCs w:val="18"/>
              </w:rPr>
            </w:pPr>
            <w:r>
              <w:rPr>
                <w:rFonts w:ascii="Arial" w:hAnsi="Arial" w:cs="Arial"/>
                <w:noProof/>
                <w:sz w:val="18"/>
                <w:szCs w:val="18"/>
              </w:rPr>
              <w:t>182.090</w:t>
            </w:r>
          </w:p>
        </w:tc>
        <w:tc>
          <w:tcPr>
            <w:tcW w:w="851" w:type="dxa"/>
            <w:vAlign w:val="center"/>
          </w:tcPr>
          <w:p w:rsidR="00517824" w:rsidRPr="00B94E3B" w:rsidRDefault="00844808" w:rsidP="00BB047B">
            <w:pPr>
              <w:ind w:left="-83"/>
              <w:jc w:val="right"/>
              <w:rPr>
                <w:rFonts w:ascii="Arial" w:hAnsi="Arial" w:cs="Arial"/>
                <w:noProof/>
                <w:sz w:val="18"/>
                <w:szCs w:val="18"/>
              </w:rPr>
            </w:pPr>
            <w:r>
              <w:rPr>
                <w:rFonts w:ascii="Arial" w:hAnsi="Arial" w:cs="Arial"/>
                <w:noProof/>
                <w:sz w:val="18"/>
                <w:szCs w:val="18"/>
              </w:rPr>
              <w:t>12.410</w:t>
            </w:r>
          </w:p>
        </w:tc>
        <w:tc>
          <w:tcPr>
            <w:tcW w:w="851" w:type="dxa"/>
            <w:vAlign w:val="center"/>
          </w:tcPr>
          <w:p w:rsidR="00517824" w:rsidRPr="00B94E3B" w:rsidRDefault="00517824" w:rsidP="00517824">
            <w:pPr>
              <w:ind w:left="-83"/>
              <w:jc w:val="right"/>
              <w:rPr>
                <w:rFonts w:ascii="Arial" w:hAnsi="Arial" w:cs="Arial"/>
                <w:noProof/>
                <w:sz w:val="18"/>
                <w:szCs w:val="18"/>
              </w:rPr>
            </w:pPr>
            <w:r w:rsidRPr="00B94E3B">
              <w:rPr>
                <w:rFonts w:ascii="Arial" w:hAnsi="Arial" w:cs="Arial"/>
                <w:noProof/>
                <w:sz w:val="18"/>
                <w:szCs w:val="18"/>
              </w:rPr>
              <w:fldChar w:fldCharType="begin">
                <w:ffData>
                  <w:name w:val=""/>
                  <w:enabled/>
                  <w:calcOnExit w:val="0"/>
                  <w:textInput>
                    <w:type w:val="number"/>
                  </w:textInput>
                </w:ffData>
              </w:fldChar>
            </w:r>
            <w:r w:rsidRPr="00B94E3B">
              <w:rPr>
                <w:rFonts w:ascii="Arial" w:hAnsi="Arial" w:cs="Arial"/>
                <w:noProof/>
                <w:sz w:val="18"/>
                <w:szCs w:val="18"/>
              </w:rPr>
              <w:instrText xml:space="preserve"> FORMTEXT </w:instrText>
            </w:r>
            <w:r w:rsidRPr="00B94E3B">
              <w:rPr>
                <w:rFonts w:ascii="Arial" w:hAnsi="Arial" w:cs="Arial"/>
                <w:noProof/>
                <w:sz w:val="18"/>
                <w:szCs w:val="18"/>
              </w:rPr>
            </w:r>
            <w:r w:rsidRPr="00B94E3B">
              <w:rPr>
                <w:rFonts w:ascii="Arial" w:hAnsi="Arial" w:cs="Arial"/>
                <w:noProof/>
                <w:sz w:val="18"/>
                <w:szCs w:val="18"/>
              </w:rPr>
              <w:fldChar w:fldCharType="separate"/>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fldChar w:fldCharType="end"/>
            </w:r>
          </w:p>
        </w:tc>
        <w:tc>
          <w:tcPr>
            <w:tcW w:w="851" w:type="dxa"/>
            <w:vAlign w:val="center"/>
          </w:tcPr>
          <w:p w:rsidR="00517824" w:rsidRPr="00B94E3B" w:rsidRDefault="00517824" w:rsidP="00517824">
            <w:pPr>
              <w:ind w:left="-83"/>
              <w:jc w:val="right"/>
              <w:rPr>
                <w:rFonts w:ascii="Arial" w:hAnsi="Arial" w:cs="Arial"/>
                <w:noProof/>
                <w:sz w:val="18"/>
                <w:szCs w:val="18"/>
              </w:rPr>
            </w:pPr>
            <w:r w:rsidRPr="00B94E3B">
              <w:rPr>
                <w:rFonts w:ascii="Arial" w:hAnsi="Arial" w:cs="Arial"/>
                <w:noProof/>
                <w:sz w:val="18"/>
                <w:szCs w:val="18"/>
              </w:rPr>
              <w:fldChar w:fldCharType="begin">
                <w:ffData>
                  <w:name w:val=""/>
                  <w:enabled/>
                  <w:calcOnExit w:val="0"/>
                  <w:textInput>
                    <w:type w:val="number"/>
                  </w:textInput>
                </w:ffData>
              </w:fldChar>
            </w:r>
            <w:r w:rsidRPr="00B94E3B">
              <w:rPr>
                <w:rFonts w:ascii="Arial" w:hAnsi="Arial" w:cs="Arial"/>
                <w:noProof/>
                <w:sz w:val="18"/>
                <w:szCs w:val="18"/>
              </w:rPr>
              <w:instrText xml:space="preserve"> FORMTEXT </w:instrText>
            </w:r>
            <w:r w:rsidRPr="00B94E3B">
              <w:rPr>
                <w:rFonts w:ascii="Arial" w:hAnsi="Arial" w:cs="Arial"/>
                <w:noProof/>
                <w:sz w:val="18"/>
                <w:szCs w:val="18"/>
              </w:rPr>
            </w:r>
            <w:r w:rsidRPr="00B94E3B">
              <w:rPr>
                <w:rFonts w:ascii="Arial" w:hAnsi="Arial" w:cs="Arial"/>
                <w:noProof/>
                <w:sz w:val="18"/>
                <w:szCs w:val="18"/>
              </w:rPr>
              <w:fldChar w:fldCharType="separate"/>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fldChar w:fldCharType="end"/>
            </w:r>
          </w:p>
        </w:tc>
        <w:tc>
          <w:tcPr>
            <w:tcW w:w="851" w:type="dxa"/>
            <w:vAlign w:val="center"/>
          </w:tcPr>
          <w:p w:rsidR="00517824" w:rsidRPr="00B94E3B" w:rsidRDefault="00517824" w:rsidP="00517824">
            <w:pPr>
              <w:ind w:left="-83"/>
              <w:jc w:val="right"/>
              <w:rPr>
                <w:rFonts w:ascii="Arial" w:hAnsi="Arial" w:cs="Arial"/>
                <w:noProof/>
                <w:sz w:val="18"/>
                <w:szCs w:val="18"/>
              </w:rPr>
            </w:pPr>
            <w:r w:rsidRPr="00B94E3B">
              <w:rPr>
                <w:rFonts w:ascii="Arial" w:hAnsi="Arial" w:cs="Arial"/>
                <w:noProof/>
                <w:sz w:val="18"/>
                <w:szCs w:val="18"/>
              </w:rPr>
              <w:fldChar w:fldCharType="begin">
                <w:ffData>
                  <w:name w:val=""/>
                  <w:enabled/>
                  <w:calcOnExit w:val="0"/>
                  <w:textInput>
                    <w:type w:val="number"/>
                  </w:textInput>
                </w:ffData>
              </w:fldChar>
            </w:r>
            <w:r w:rsidRPr="00B94E3B">
              <w:rPr>
                <w:rFonts w:ascii="Arial" w:hAnsi="Arial" w:cs="Arial"/>
                <w:noProof/>
                <w:sz w:val="18"/>
                <w:szCs w:val="18"/>
              </w:rPr>
              <w:instrText xml:space="preserve"> FORMTEXT </w:instrText>
            </w:r>
            <w:r w:rsidRPr="00B94E3B">
              <w:rPr>
                <w:rFonts w:ascii="Arial" w:hAnsi="Arial" w:cs="Arial"/>
                <w:noProof/>
                <w:sz w:val="18"/>
                <w:szCs w:val="18"/>
              </w:rPr>
            </w:r>
            <w:r w:rsidRPr="00B94E3B">
              <w:rPr>
                <w:rFonts w:ascii="Arial" w:hAnsi="Arial" w:cs="Arial"/>
                <w:noProof/>
                <w:sz w:val="18"/>
                <w:szCs w:val="18"/>
              </w:rPr>
              <w:fldChar w:fldCharType="separate"/>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fldChar w:fldCharType="end"/>
            </w:r>
          </w:p>
        </w:tc>
        <w:tc>
          <w:tcPr>
            <w:tcW w:w="851" w:type="dxa"/>
            <w:vAlign w:val="center"/>
          </w:tcPr>
          <w:p w:rsidR="00517824" w:rsidRPr="00A03E3B" w:rsidRDefault="00844808" w:rsidP="00517824">
            <w:pPr>
              <w:ind w:left="-83"/>
              <w:jc w:val="right"/>
              <w:rPr>
                <w:rFonts w:ascii="Arial" w:hAnsi="Arial" w:cs="Arial"/>
                <w:b/>
                <w:noProof/>
                <w:sz w:val="18"/>
                <w:szCs w:val="18"/>
              </w:rPr>
            </w:pPr>
            <w:r w:rsidRPr="00A03E3B">
              <w:rPr>
                <w:rFonts w:ascii="Arial" w:hAnsi="Arial" w:cs="Arial"/>
                <w:b/>
                <w:noProof/>
                <w:sz w:val="18"/>
                <w:szCs w:val="18"/>
              </w:rPr>
              <w:t>314.500</w:t>
            </w:r>
          </w:p>
        </w:tc>
      </w:tr>
      <w:tr w:rsidR="00B94E3B" w:rsidRPr="00B94E3B" w:rsidTr="00D30D66">
        <w:trPr>
          <w:trHeight w:hRule="exact" w:val="347"/>
        </w:trPr>
        <w:tc>
          <w:tcPr>
            <w:tcW w:w="2133" w:type="dxa"/>
            <w:vAlign w:val="center"/>
          </w:tcPr>
          <w:p w:rsidR="00517824" w:rsidRPr="00D30D66" w:rsidRDefault="00517824" w:rsidP="00517824">
            <w:pPr>
              <w:ind w:left="31"/>
              <w:rPr>
                <w:rFonts w:ascii="Arial" w:hAnsi="Arial" w:cs="Arial"/>
                <w:sz w:val="18"/>
                <w:szCs w:val="18"/>
              </w:rPr>
            </w:pPr>
            <w:r w:rsidRPr="00D30D66">
              <w:rPr>
                <w:rFonts w:ascii="Arial" w:hAnsi="Arial" w:cs="Arial"/>
                <w:sz w:val="18"/>
                <w:szCs w:val="18"/>
              </w:rPr>
              <w:t>Otra financiación</w:t>
            </w:r>
          </w:p>
        </w:tc>
        <w:tc>
          <w:tcPr>
            <w:tcW w:w="851" w:type="dxa"/>
            <w:vAlign w:val="center"/>
          </w:tcPr>
          <w:p w:rsidR="00517824" w:rsidRPr="00B94E3B" w:rsidRDefault="00517824" w:rsidP="00517824">
            <w:pPr>
              <w:ind w:left="-83"/>
              <w:jc w:val="right"/>
              <w:rPr>
                <w:rFonts w:ascii="Arial" w:hAnsi="Arial" w:cs="Arial"/>
                <w:noProof/>
                <w:sz w:val="18"/>
                <w:szCs w:val="18"/>
              </w:rPr>
            </w:pPr>
            <w:r w:rsidRPr="00B94E3B">
              <w:rPr>
                <w:rFonts w:ascii="Arial" w:hAnsi="Arial" w:cs="Arial"/>
                <w:noProof/>
                <w:sz w:val="18"/>
                <w:szCs w:val="18"/>
              </w:rPr>
              <w:fldChar w:fldCharType="begin">
                <w:ffData>
                  <w:name w:val=""/>
                  <w:enabled/>
                  <w:calcOnExit w:val="0"/>
                  <w:textInput>
                    <w:type w:val="number"/>
                  </w:textInput>
                </w:ffData>
              </w:fldChar>
            </w:r>
            <w:r w:rsidRPr="00B94E3B">
              <w:rPr>
                <w:rFonts w:ascii="Arial" w:hAnsi="Arial" w:cs="Arial"/>
                <w:noProof/>
                <w:sz w:val="18"/>
                <w:szCs w:val="18"/>
              </w:rPr>
              <w:instrText xml:space="preserve"> FORMTEXT </w:instrText>
            </w:r>
            <w:r w:rsidRPr="00B94E3B">
              <w:rPr>
                <w:rFonts w:ascii="Arial" w:hAnsi="Arial" w:cs="Arial"/>
                <w:noProof/>
                <w:sz w:val="18"/>
                <w:szCs w:val="18"/>
              </w:rPr>
            </w:r>
            <w:r w:rsidRPr="00B94E3B">
              <w:rPr>
                <w:rFonts w:ascii="Arial" w:hAnsi="Arial" w:cs="Arial"/>
                <w:noProof/>
                <w:sz w:val="18"/>
                <w:szCs w:val="18"/>
              </w:rPr>
              <w:fldChar w:fldCharType="separate"/>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fldChar w:fldCharType="end"/>
            </w:r>
          </w:p>
        </w:tc>
        <w:tc>
          <w:tcPr>
            <w:tcW w:w="851" w:type="dxa"/>
            <w:vAlign w:val="center"/>
          </w:tcPr>
          <w:p w:rsidR="00517824" w:rsidRPr="00B94E3B" w:rsidRDefault="00517824" w:rsidP="00517824">
            <w:pPr>
              <w:ind w:left="-83"/>
              <w:jc w:val="right"/>
              <w:rPr>
                <w:rFonts w:ascii="Arial" w:hAnsi="Arial" w:cs="Arial"/>
                <w:noProof/>
                <w:sz w:val="18"/>
                <w:szCs w:val="18"/>
              </w:rPr>
            </w:pPr>
          </w:p>
        </w:tc>
        <w:tc>
          <w:tcPr>
            <w:tcW w:w="851" w:type="dxa"/>
            <w:vAlign w:val="center"/>
          </w:tcPr>
          <w:p w:rsidR="00517824" w:rsidRPr="00B94E3B" w:rsidRDefault="00517824" w:rsidP="00517824">
            <w:pPr>
              <w:ind w:left="-83"/>
              <w:jc w:val="right"/>
              <w:rPr>
                <w:rFonts w:ascii="Arial" w:hAnsi="Arial" w:cs="Arial"/>
                <w:noProof/>
                <w:sz w:val="18"/>
                <w:szCs w:val="18"/>
              </w:rPr>
            </w:pPr>
          </w:p>
        </w:tc>
        <w:tc>
          <w:tcPr>
            <w:tcW w:w="851" w:type="dxa"/>
            <w:vAlign w:val="center"/>
          </w:tcPr>
          <w:p w:rsidR="00517824" w:rsidRPr="00B94E3B" w:rsidRDefault="00517824" w:rsidP="00517824">
            <w:pPr>
              <w:ind w:left="-83"/>
              <w:jc w:val="right"/>
              <w:rPr>
                <w:rFonts w:ascii="Arial" w:hAnsi="Arial" w:cs="Arial"/>
                <w:noProof/>
                <w:sz w:val="18"/>
                <w:szCs w:val="18"/>
              </w:rPr>
            </w:pPr>
          </w:p>
        </w:tc>
        <w:tc>
          <w:tcPr>
            <w:tcW w:w="851" w:type="dxa"/>
            <w:vAlign w:val="center"/>
          </w:tcPr>
          <w:p w:rsidR="00517824" w:rsidRPr="00B94E3B" w:rsidRDefault="00517824" w:rsidP="00517824">
            <w:pPr>
              <w:ind w:left="-83"/>
              <w:jc w:val="right"/>
              <w:rPr>
                <w:rFonts w:ascii="Arial" w:hAnsi="Arial" w:cs="Arial"/>
                <w:noProof/>
                <w:sz w:val="18"/>
                <w:szCs w:val="18"/>
              </w:rPr>
            </w:pPr>
            <w:r w:rsidRPr="00B94E3B">
              <w:rPr>
                <w:rFonts w:ascii="Arial" w:hAnsi="Arial" w:cs="Arial"/>
                <w:noProof/>
                <w:sz w:val="18"/>
                <w:szCs w:val="18"/>
              </w:rPr>
              <w:fldChar w:fldCharType="begin">
                <w:ffData>
                  <w:name w:val=""/>
                  <w:enabled/>
                  <w:calcOnExit w:val="0"/>
                  <w:textInput>
                    <w:type w:val="number"/>
                  </w:textInput>
                </w:ffData>
              </w:fldChar>
            </w:r>
            <w:r w:rsidRPr="00B94E3B">
              <w:rPr>
                <w:rFonts w:ascii="Arial" w:hAnsi="Arial" w:cs="Arial"/>
                <w:noProof/>
                <w:sz w:val="18"/>
                <w:szCs w:val="18"/>
              </w:rPr>
              <w:instrText xml:space="preserve"> FORMTEXT </w:instrText>
            </w:r>
            <w:r w:rsidRPr="00B94E3B">
              <w:rPr>
                <w:rFonts w:ascii="Arial" w:hAnsi="Arial" w:cs="Arial"/>
                <w:noProof/>
                <w:sz w:val="18"/>
                <w:szCs w:val="18"/>
              </w:rPr>
            </w:r>
            <w:r w:rsidRPr="00B94E3B">
              <w:rPr>
                <w:rFonts w:ascii="Arial" w:hAnsi="Arial" w:cs="Arial"/>
                <w:noProof/>
                <w:sz w:val="18"/>
                <w:szCs w:val="18"/>
              </w:rPr>
              <w:fldChar w:fldCharType="separate"/>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fldChar w:fldCharType="end"/>
            </w:r>
          </w:p>
        </w:tc>
        <w:tc>
          <w:tcPr>
            <w:tcW w:w="851" w:type="dxa"/>
            <w:vAlign w:val="center"/>
          </w:tcPr>
          <w:p w:rsidR="00517824" w:rsidRPr="00B94E3B" w:rsidRDefault="00517824" w:rsidP="00517824">
            <w:pPr>
              <w:ind w:left="-83"/>
              <w:jc w:val="right"/>
              <w:rPr>
                <w:rFonts w:ascii="Arial" w:hAnsi="Arial" w:cs="Arial"/>
                <w:noProof/>
                <w:sz w:val="18"/>
                <w:szCs w:val="18"/>
              </w:rPr>
            </w:pPr>
            <w:r w:rsidRPr="00B94E3B">
              <w:rPr>
                <w:rFonts w:ascii="Arial" w:hAnsi="Arial" w:cs="Arial"/>
                <w:noProof/>
                <w:sz w:val="18"/>
                <w:szCs w:val="18"/>
              </w:rPr>
              <w:fldChar w:fldCharType="begin">
                <w:ffData>
                  <w:name w:val=""/>
                  <w:enabled/>
                  <w:calcOnExit w:val="0"/>
                  <w:textInput>
                    <w:type w:val="number"/>
                  </w:textInput>
                </w:ffData>
              </w:fldChar>
            </w:r>
            <w:r w:rsidRPr="00B94E3B">
              <w:rPr>
                <w:rFonts w:ascii="Arial" w:hAnsi="Arial" w:cs="Arial"/>
                <w:noProof/>
                <w:sz w:val="18"/>
                <w:szCs w:val="18"/>
              </w:rPr>
              <w:instrText xml:space="preserve"> FORMTEXT </w:instrText>
            </w:r>
            <w:r w:rsidRPr="00B94E3B">
              <w:rPr>
                <w:rFonts w:ascii="Arial" w:hAnsi="Arial" w:cs="Arial"/>
                <w:noProof/>
                <w:sz w:val="18"/>
                <w:szCs w:val="18"/>
              </w:rPr>
            </w:r>
            <w:r w:rsidRPr="00B94E3B">
              <w:rPr>
                <w:rFonts w:ascii="Arial" w:hAnsi="Arial" w:cs="Arial"/>
                <w:noProof/>
                <w:sz w:val="18"/>
                <w:szCs w:val="18"/>
              </w:rPr>
              <w:fldChar w:fldCharType="separate"/>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fldChar w:fldCharType="end"/>
            </w:r>
          </w:p>
        </w:tc>
        <w:tc>
          <w:tcPr>
            <w:tcW w:w="851" w:type="dxa"/>
            <w:vAlign w:val="center"/>
          </w:tcPr>
          <w:p w:rsidR="00517824" w:rsidRPr="00B94E3B" w:rsidRDefault="00517824" w:rsidP="00517824">
            <w:pPr>
              <w:ind w:left="-83"/>
              <w:jc w:val="right"/>
              <w:rPr>
                <w:rFonts w:ascii="Arial" w:hAnsi="Arial" w:cs="Arial"/>
                <w:noProof/>
                <w:sz w:val="18"/>
                <w:szCs w:val="18"/>
              </w:rPr>
            </w:pPr>
            <w:r w:rsidRPr="00B94E3B">
              <w:rPr>
                <w:rFonts w:ascii="Arial" w:hAnsi="Arial" w:cs="Arial"/>
                <w:noProof/>
                <w:sz w:val="18"/>
                <w:szCs w:val="18"/>
              </w:rPr>
              <w:fldChar w:fldCharType="begin">
                <w:ffData>
                  <w:name w:val=""/>
                  <w:enabled/>
                  <w:calcOnExit w:val="0"/>
                  <w:textInput>
                    <w:type w:val="number"/>
                  </w:textInput>
                </w:ffData>
              </w:fldChar>
            </w:r>
            <w:r w:rsidRPr="00B94E3B">
              <w:rPr>
                <w:rFonts w:ascii="Arial" w:hAnsi="Arial" w:cs="Arial"/>
                <w:noProof/>
                <w:sz w:val="18"/>
                <w:szCs w:val="18"/>
              </w:rPr>
              <w:instrText xml:space="preserve"> FORMTEXT </w:instrText>
            </w:r>
            <w:r w:rsidRPr="00B94E3B">
              <w:rPr>
                <w:rFonts w:ascii="Arial" w:hAnsi="Arial" w:cs="Arial"/>
                <w:noProof/>
                <w:sz w:val="18"/>
                <w:szCs w:val="18"/>
              </w:rPr>
            </w:r>
            <w:r w:rsidRPr="00B94E3B">
              <w:rPr>
                <w:rFonts w:ascii="Arial" w:hAnsi="Arial" w:cs="Arial"/>
                <w:noProof/>
                <w:sz w:val="18"/>
                <w:szCs w:val="18"/>
              </w:rPr>
              <w:fldChar w:fldCharType="separate"/>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fldChar w:fldCharType="end"/>
            </w:r>
          </w:p>
        </w:tc>
        <w:tc>
          <w:tcPr>
            <w:tcW w:w="851" w:type="dxa"/>
            <w:vAlign w:val="center"/>
          </w:tcPr>
          <w:p w:rsidR="00517824" w:rsidRPr="00A03E3B" w:rsidRDefault="00517824" w:rsidP="00517824">
            <w:pPr>
              <w:ind w:left="-83"/>
              <w:jc w:val="right"/>
              <w:rPr>
                <w:rFonts w:ascii="Arial" w:hAnsi="Arial" w:cs="Arial"/>
                <w:b/>
                <w:noProof/>
                <w:sz w:val="18"/>
                <w:szCs w:val="18"/>
              </w:rPr>
            </w:pPr>
          </w:p>
        </w:tc>
      </w:tr>
      <w:tr w:rsidR="00844808" w:rsidRPr="00A03E3B" w:rsidTr="00D30D66">
        <w:trPr>
          <w:trHeight w:hRule="exact" w:val="347"/>
        </w:trPr>
        <w:tc>
          <w:tcPr>
            <w:tcW w:w="2133" w:type="dxa"/>
            <w:vAlign w:val="center"/>
          </w:tcPr>
          <w:p w:rsidR="00844808" w:rsidRPr="00A03E3B" w:rsidRDefault="00844808" w:rsidP="00844808">
            <w:pPr>
              <w:ind w:left="31"/>
              <w:rPr>
                <w:rFonts w:ascii="Arial" w:hAnsi="Arial" w:cs="Arial"/>
                <w:b/>
                <w:sz w:val="18"/>
                <w:szCs w:val="18"/>
              </w:rPr>
            </w:pPr>
            <w:r w:rsidRPr="00A03E3B">
              <w:rPr>
                <w:rFonts w:ascii="Arial" w:hAnsi="Arial" w:cs="Arial"/>
                <w:b/>
                <w:sz w:val="18"/>
                <w:szCs w:val="18"/>
              </w:rPr>
              <w:t>Total</w:t>
            </w:r>
          </w:p>
        </w:tc>
        <w:tc>
          <w:tcPr>
            <w:tcW w:w="851" w:type="dxa"/>
            <w:vAlign w:val="center"/>
          </w:tcPr>
          <w:p w:rsidR="00844808" w:rsidRPr="00A03E3B" w:rsidRDefault="00844808" w:rsidP="00844808">
            <w:pPr>
              <w:ind w:left="-83"/>
              <w:jc w:val="right"/>
              <w:rPr>
                <w:rFonts w:ascii="Arial" w:hAnsi="Arial" w:cs="Arial"/>
                <w:b/>
                <w:noProof/>
                <w:sz w:val="18"/>
                <w:szCs w:val="18"/>
              </w:rPr>
            </w:pPr>
            <w:r w:rsidRPr="00A03E3B">
              <w:rPr>
                <w:rFonts w:ascii="Arial" w:hAnsi="Arial" w:cs="Arial"/>
                <w:b/>
                <w:noProof/>
                <w:sz w:val="18"/>
                <w:szCs w:val="18"/>
              </w:rPr>
              <w:fldChar w:fldCharType="begin">
                <w:ffData>
                  <w:name w:val=""/>
                  <w:enabled/>
                  <w:calcOnExit w:val="0"/>
                  <w:textInput>
                    <w:type w:val="number"/>
                  </w:textInput>
                </w:ffData>
              </w:fldChar>
            </w:r>
            <w:r w:rsidRPr="00A03E3B">
              <w:rPr>
                <w:rFonts w:ascii="Arial" w:hAnsi="Arial" w:cs="Arial"/>
                <w:b/>
                <w:noProof/>
                <w:sz w:val="18"/>
                <w:szCs w:val="18"/>
              </w:rPr>
              <w:instrText xml:space="preserve"> FORMTEXT </w:instrText>
            </w:r>
            <w:r w:rsidRPr="00A03E3B">
              <w:rPr>
                <w:rFonts w:ascii="Arial" w:hAnsi="Arial" w:cs="Arial"/>
                <w:b/>
                <w:noProof/>
                <w:sz w:val="18"/>
                <w:szCs w:val="18"/>
              </w:rPr>
            </w:r>
            <w:r w:rsidRPr="00A03E3B">
              <w:rPr>
                <w:rFonts w:ascii="Arial" w:hAnsi="Arial" w:cs="Arial"/>
                <w:b/>
                <w:noProof/>
                <w:sz w:val="18"/>
                <w:szCs w:val="18"/>
              </w:rPr>
              <w:fldChar w:fldCharType="separate"/>
            </w:r>
            <w:r w:rsidRPr="00A03E3B">
              <w:rPr>
                <w:rFonts w:ascii="Arial" w:hAnsi="Arial" w:cs="Arial"/>
                <w:b/>
                <w:noProof/>
                <w:sz w:val="18"/>
                <w:szCs w:val="18"/>
              </w:rPr>
              <w:t> </w:t>
            </w:r>
            <w:r w:rsidRPr="00A03E3B">
              <w:rPr>
                <w:rFonts w:ascii="Arial" w:hAnsi="Arial" w:cs="Arial"/>
                <w:b/>
                <w:noProof/>
                <w:sz w:val="18"/>
                <w:szCs w:val="18"/>
              </w:rPr>
              <w:t> </w:t>
            </w:r>
            <w:r w:rsidRPr="00A03E3B">
              <w:rPr>
                <w:rFonts w:ascii="Arial" w:hAnsi="Arial" w:cs="Arial"/>
                <w:b/>
                <w:noProof/>
                <w:sz w:val="18"/>
                <w:szCs w:val="18"/>
              </w:rPr>
              <w:t> </w:t>
            </w:r>
            <w:r w:rsidRPr="00A03E3B">
              <w:rPr>
                <w:rFonts w:ascii="Arial" w:hAnsi="Arial" w:cs="Arial"/>
                <w:b/>
                <w:noProof/>
                <w:sz w:val="18"/>
                <w:szCs w:val="18"/>
              </w:rPr>
              <w:t> </w:t>
            </w:r>
            <w:r w:rsidRPr="00A03E3B">
              <w:rPr>
                <w:rFonts w:ascii="Arial" w:hAnsi="Arial" w:cs="Arial"/>
                <w:b/>
                <w:noProof/>
                <w:sz w:val="18"/>
                <w:szCs w:val="18"/>
              </w:rPr>
              <w:t> </w:t>
            </w:r>
            <w:r w:rsidRPr="00A03E3B">
              <w:rPr>
                <w:rFonts w:ascii="Arial" w:hAnsi="Arial" w:cs="Arial"/>
                <w:b/>
                <w:noProof/>
                <w:sz w:val="18"/>
                <w:szCs w:val="18"/>
              </w:rPr>
              <w:fldChar w:fldCharType="end"/>
            </w:r>
          </w:p>
        </w:tc>
        <w:tc>
          <w:tcPr>
            <w:tcW w:w="851" w:type="dxa"/>
            <w:vAlign w:val="center"/>
          </w:tcPr>
          <w:p w:rsidR="00844808" w:rsidRPr="00A03E3B" w:rsidRDefault="00844808" w:rsidP="00844808">
            <w:pPr>
              <w:ind w:left="-83"/>
              <w:jc w:val="right"/>
              <w:rPr>
                <w:rFonts w:ascii="Arial" w:hAnsi="Arial" w:cs="Arial"/>
                <w:b/>
                <w:noProof/>
                <w:sz w:val="18"/>
                <w:szCs w:val="18"/>
              </w:rPr>
            </w:pPr>
            <w:r w:rsidRPr="00A03E3B">
              <w:rPr>
                <w:rFonts w:ascii="Arial" w:hAnsi="Arial" w:cs="Arial"/>
                <w:b/>
                <w:noProof/>
                <w:sz w:val="18"/>
                <w:szCs w:val="18"/>
              </w:rPr>
              <w:t>120.000</w:t>
            </w:r>
          </w:p>
        </w:tc>
        <w:tc>
          <w:tcPr>
            <w:tcW w:w="851" w:type="dxa"/>
            <w:vAlign w:val="center"/>
          </w:tcPr>
          <w:p w:rsidR="00844808" w:rsidRPr="00A03E3B" w:rsidRDefault="00844808" w:rsidP="00844808">
            <w:pPr>
              <w:ind w:left="-83"/>
              <w:jc w:val="right"/>
              <w:rPr>
                <w:rFonts w:ascii="Arial" w:hAnsi="Arial" w:cs="Arial"/>
                <w:b/>
                <w:noProof/>
                <w:sz w:val="18"/>
                <w:szCs w:val="18"/>
              </w:rPr>
            </w:pPr>
            <w:r w:rsidRPr="00A03E3B">
              <w:rPr>
                <w:rFonts w:ascii="Arial" w:hAnsi="Arial" w:cs="Arial"/>
                <w:b/>
                <w:noProof/>
                <w:sz w:val="18"/>
                <w:szCs w:val="18"/>
              </w:rPr>
              <w:t>182.090</w:t>
            </w:r>
          </w:p>
        </w:tc>
        <w:tc>
          <w:tcPr>
            <w:tcW w:w="851" w:type="dxa"/>
            <w:vAlign w:val="center"/>
          </w:tcPr>
          <w:p w:rsidR="00844808" w:rsidRPr="00A03E3B" w:rsidRDefault="00844808" w:rsidP="00844808">
            <w:pPr>
              <w:ind w:left="-83"/>
              <w:jc w:val="right"/>
              <w:rPr>
                <w:rFonts w:ascii="Arial" w:hAnsi="Arial" w:cs="Arial"/>
                <w:b/>
                <w:noProof/>
                <w:sz w:val="18"/>
                <w:szCs w:val="18"/>
              </w:rPr>
            </w:pPr>
            <w:r w:rsidRPr="00A03E3B">
              <w:rPr>
                <w:rFonts w:ascii="Arial" w:hAnsi="Arial" w:cs="Arial"/>
                <w:b/>
                <w:noProof/>
                <w:sz w:val="18"/>
                <w:szCs w:val="18"/>
              </w:rPr>
              <w:t>12.410</w:t>
            </w:r>
          </w:p>
        </w:tc>
        <w:tc>
          <w:tcPr>
            <w:tcW w:w="851" w:type="dxa"/>
            <w:vAlign w:val="center"/>
          </w:tcPr>
          <w:p w:rsidR="00844808" w:rsidRPr="00A03E3B" w:rsidRDefault="00844808" w:rsidP="00844808">
            <w:pPr>
              <w:ind w:left="-83"/>
              <w:jc w:val="right"/>
              <w:rPr>
                <w:rFonts w:ascii="Arial" w:hAnsi="Arial" w:cs="Arial"/>
                <w:b/>
                <w:noProof/>
                <w:sz w:val="18"/>
                <w:szCs w:val="18"/>
              </w:rPr>
            </w:pPr>
            <w:r w:rsidRPr="00A03E3B">
              <w:rPr>
                <w:rFonts w:ascii="Arial" w:hAnsi="Arial" w:cs="Arial"/>
                <w:b/>
                <w:noProof/>
                <w:sz w:val="18"/>
                <w:szCs w:val="18"/>
              </w:rPr>
              <w:fldChar w:fldCharType="begin">
                <w:ffData>
                  <w:name w:val=""/>
                  <w:enabled/>
                  <w:calcOnExit w:val="0"/>
                  <w:textInput>
                    <w:type w:val="number"/>
                  </w:textInput>
                </w:ffData>
              </w:fldChar>
            </w:r>
            <w:r w:rsidRPr="00A03E3B">
              <w:rPr>
                <w:rFonts w:ascii="Arial" w:hAnsi="Arial" w:cs="Arial"/>
                <w:b/>
                <w:noProof/>
                <w:sz w:val="18"/>
                <w:szCs w:val="18"/>
              </w:rPr>
              <w:instrText xml:space="preserve"> FORMTEXT </w:instrText>
            </w:r>
            <w:r w:rsidRPr="00A03E3B">
              <w:rPr>
                <w:rFonts w:ascii="Arial" w:hAnsi="Arial" w:cs="Arial"/>
                <w:b/>
                <w:noProof/>
                <w:sz w:val="18"/>
                <w:szCs w:val="18"/>
              </w:rPr>
            </w:r>
            <w:r w:rsidRPr="00A03E3B">
              <w:rPr>
                <w:rFonts w:ascii="Arial" w:hAnsi="Arial" w:cs="Arial"/>
                <w:b/>
                <w:noProof/>
                <w:sz w:val="18"/>
                <w:szCs w:val="18"/>
              </w:rPr>
              <w:fldChar w:fldCharType="separate"/>
            </w:r>
            <w:r w:rsidRPr="00A03E3B">
              <w:rPr>
                <w:rFonts w:ascii="Arial" w:hAnsi="Arial" w:cs="Arial"/>
                <w:b/>
                <w:noProof/>
                <w:sz w:val="18"/>
                <w:szCs w:val="18"/>
              </w:rPr>
              <w:t> </w:t>
            </w:r>
            <w:r w:rsidRPr="00A03E3B">
              <w:rPr>
                <w:rFonts w:ascii="Arial" w:hAnsi="Arial" w:cs="Arial"/>
                <w:b/>
                <w:noProof/>
                <w:sz w:val="18"/>
                <w:szCs w:val="18"/>
              </w:rPr>
              <w:t> </w:t>
            </w:r>
            <w:r w:rsidRPr="00A03E3B">
              <w:rPr>
                <w:rFonts w:ascii="Arial" w:hAnsi="Arial" w:cs="Arial"/>
                <w:b/>
                <w:noProof/>
                <w:sz w:val="18"/>
                <w:szCs w:val="18"/>
              </w:rPr>
              <w:t> </w:t>
            </w:r>
            <w:r w:rsidRPr="00A03E3B">
              <w:rPr>
                <w:rFonts w:ascii="Arial" w:hAnsi="Arial" w:cs="Arial"/>
                <w:b/>
                <w:noProof/>
                <w:sz w:val="18"/>
                <w:szCs w:val="18"/>
              </w:rPr>
              <w:t> </w:t>
            </w:r>
            <w:r w:rsidRPr="00A03E3B">
              <w:rPr>
                <w:rFonts w:ascii="Arial" w:hAnsi="Arial" w:cs="Arial"/>
                <w:b/>
                <w:noProof/>
                <w:sz w:val="18"/>
                <w:szCs w:val="18"/>
              </w:rPr>
              <w:t> </w:t>
            </w:r>
            <w:r w:rsidRPr="00A03E3B">
              <w:rPr>
                <w:rFonts w:ascii="Arial" w:hAnsi="Arial" w:cs="Arial"/>
                <w:b/>
                <w:noProof/>
                <w:sz w:val="18"/>
                <w:szCs w:val="18"/>
              </w:rPr>
              <w:fldChar w:fldCharType="end"/>
            </w:r>
          </w:p>
        </w:tc>
        <w:tc>
          <w:tcPr>
            <w:tcW w:w="851" w:type="dxa"/>
            <w:vAlign w:val="center"/>
          </w:tcPr>
          <w:p w:rsidR="00844808" w:rsidRPr="00A03E3B" w:rsidRDefault="00844808" w:rsidP="00844808">
            <w:pPr>
              <w:ind w:left="-83"/>
              <w:jc w:val="right"/>
              <w:rPr>
                <w:rFonts w:ascii="Arial" w:hAnsi="Arial" w:cs="Arial"/>
                <w:b/>
                <w:noProof/>
                <w:sz w:val="18"/>
                <w:szCs w:val="18"/>
              </w:rPr>
            </w:pPr>
            <w:r w:rsidRPr="00A03E3B">
              <w:rPr>
                <w:rFonts w:ascii="Arial" w:hAnsi="Arial" w:cs="Arial"/>
                <w:b/>
                <w:noProof/>
                <w:sz w:val="18"/>
                <w:szCs w:val="18"/>
              </w:rPr>
              <w:fldChar w:fldCharType="begin">
                <w:ffData>
                  <w:name w:val=""/>
                  <w:enabled/>
                  <w:calcOnExit w:val="0"/>
                  <w:textInput>
                    <w:type w:val="number"/>
                  </w:textInput>
                </w:ffData>
              </w:fldChar>
            </w:r>
            <w:r w:rsidRPr="00A03E3B">
              <w:rPr>
                <w:rFonts w:ascii="Arial" w:hAnsi="Arial" w:cs="Arial"/>
                <w:b/>
                <w:noProof/>
                <w:sz w:val="18"/>
                <w:szCs w:val="18"/>
              </w:rPr>
              <w:instrText xml:space="preserve"> FORMTEXT </w:instrText>
            </w:r>
            <w:r w:rsidRPr="00A03E3B">
              <w:rPr>
                <w:rFonts w:ascii="Arial" w:hAnsi="Arial" w:cs="Arial"/>
                <w:b/>
                <w:noProof/>
                <w:sz w:val="18"/>
                <w:szCs w:val="18"/>
              </w:rPr>
            </w:r>
            <w:r w:rsidRPr="00A03E3B">
              <w:rPr>
                <w:rFonts w:ascii="Arial" w:hAnsi="Arial" w:cs="Arial"/>
                <w:b/>
                <w:noProof/>
                <w:sz w:val="18"/>
                <w:szCs w:val="18"/>
              </w:rPr>
              <w:fldChar w:fldCharType="separate"/>
            </w:r>
            <w:r w:rsidRPr="00A03E3B">
              <w:rPr>
                <w:rFonts w:ascii="Arial" w:hAnsi="Arial" w:cs="Arial"/>
                <w:b/>
                <w:noProof/>
                <w:sz w:val="18"/>
                <w:szCs w:val="18"/>
              </w:rPr>
              <w:t> </w:t>
            </w:r>
            <w:r w:rsidRPr="00A03E3B">
              <w:rPr>
                <w:rFonts w:ascii="Arial" w:hAnsi="Arial" w:cs="Arial"/>
                <w:b/>
                <w:noProof/>
                <w:sz w:val="18"/>
                <w:szCs w:val="18"/>
              </w:rPr>
              <w:t> </w:t>
            </w:r>
            <w:r w:rsidRPr="00A03E3B">
              <w:rPr>
                <w:rFonts w:ascii="Arial" w:hAnsi="Arial" w:cs="Arial"/>
                <w:b/>
                <w:noProof/>
                <w:sz w:val="18"/>
                <w:szCs w:val="18"/>
              </w:rPr>
              <w:t> </w:t>
            </w:r>
            <w:r w:rsidRPr="00A03E3B">
              <w:rPr>
                <w:rFonts w:ascii="Arial" w:hAnsi="Arial" w:cs="Arial"/>
                <w:b/>
                <w:noProof/>
                <w:sz w:val="18"/>
                <w:szCs w:val="18"/>
              </w:rPr>
              <w:t> </w:t>
            </w:r>
            <w:r w:rsidRPr="00A03E3B">
              <w:rPr>
                <w:rFonts w:ascii="Arial" w:hAnsi="Arial" w:cs="Arial"/>
                <w:b/>
                <w:noProof/>
                <w:sz w:val="18"/>
                <w:szCs w:val="18"/>
              </w:rPr>
              <w:t> </w:t>
            </w:r>
            <w:r w:rsidRPr="00A03E3B">
              <w:rPr>
                <w:rFonts w:ascii="Arial" w:hAnsi="Arial" w:cs="Arial"/>
                <w:b/>
                <w:noProof/>
                <w:sz w:val="18"/>
                <w:szCs w:val="18"/>
              </w:rPr>
              <w:fldChar w:fldCharType="end"/>
            </w:r>
          </w:p>
        </w:tc>
        <w:tc>
          <w:tcPr>
            <w:tcW w:w="851" w:type="dxa"/>
            <w:vAlign w:val="center"/>
          </w:tcPr>
          <w:p w:rsidR="00844808" w:rsidRPr="00A03E3B" w:rsidRDefault="00844808" w:rsidP="00844808">
            <w:pPr>
              <w:ind w:left="-83"/>
              <w:jc w:val="right"/>
              <w:rPr>
                <w:rFonts w:ascii="Arial" w:hAnsi="Arial" w:cs="Arial"/>
                <w:b/>
                <w:noProof/>
                <w:sz w:val="18"/>
                <w:szCs w:val="18"/>
              </w:rPr>
            </w:pPr>
            <w:r w:rsidRPr="00A03E3B">
              <w:rPr>
                <w:rFonts w:ascii="Arial" w:hAnsi="Arial" w:cs="Arial"/>
                <w:b/>
                <w:noProof/>
                <w:sz w:val="18"/>
                <w:szCs w:val="18"/>
              </w:rPr>
              <w:fldChar w:fldCharType="begin">
                <w:ffData>
                  <w:name w:val=""/>
                  <w:enabled/>
                  <w:calcOnExit w:val="0"/>
                  <w:textInput>
                    <w:type w:val="number"/>
                  </w:textInput>
                </w:ffData>
              </w:fldChar>
            </w:r>
            <w:r w:rsidRPr="00A03E3B">
              <w:rPr>
                <w:rFonts w:ascii="Arial" w:hAnsi="Arial" w:cs="Arial"/>
                <w:b/>
                <w:noProof/>
                <w:sz w:val="18"/>
                <w:szCs w:val="18"/>
              </w:rPr>
              <w:instrText xml:space="preserve"> FORMTEXT </w:instrText>
            </w:r>
            <w:r w:rsidRPr="00A03E3B">
              <w:rPr>
                <w:rFonts w:ascii="Arial" w:hAnsi="Arial" w:cs="Arial"/>
                <w:b/>
                <w:noProof/>
                <w:sz w:val="18"/>
                <w:szCs w:val="18"/>
              </w:rPr>
            </w:r>
            <w:r w:rsidRPr="00A03E3B">
              <w:rPr>
                <w:rFonts w:ascii="Arial" w:hAnsi="Arial" w:cs="Arial"/>
                <w:b/>
                <w:noProof/>
                <w:sz w:val="18"/>
                <w:szCs w:val="18"/>
              </w:rPr>
              <w:fldChar w:fldCharType="separate"/>
            </w:r>
            <w:r w:rsidRPr="00A03E3B">
              <w:rPr>
                <w:rFonts w:ascii="Arial" w:hAnsi="Arial" w:cs="Arial"/>
                <w:b/>
                <w:noProof/>
                <w:sz w:val="18"/>
                <w:szCs w:val="18"/>
              </w:rPr>
              <w:t> </w:t>
            </w:r>
            <w:r w:rsidRPr="00A03E3B">
              <w:rPr>
                <w:rFonts w:ascii="Arial" w:hAnsi="Arial" w:cs="Arial"/>
                <w:b/>
                <w:noProof/>
                <w:sz w:val="18"/>
                <w:szCs w:val="18"/>
              </w:rPr>
              <w:t> </w:t>
            </w:r>
            <w:r w:rsidRPr="00A03E3B">
              <w:rPr>
                <w:rFonts w:ascii="Arial" w:hAnsi="Arial" w:cs="Arial"/>
                <w:b/>
                <w:noProof/>
                <w:sz w:val="18"/>
                <w:szCs w:val="18"/>
              </w:rPr>
              <w:t> </w:t>
            </w:r>
            <w:r w:rsidRPr="00A03E3B">
              <w:rPr>
                <w:rFonts w:ascii="Arial" w:hAnsi="Arial" w:cs="Arial"/>
                <w:b/>
                <w:noProof/>
                <w:sz w:val="18"/>
                <w:szCs w:val="18"/>
              </w:rPr>
              <w:t> </w:t>
            </w:r>
            <w:r w:rsidRPr="00A03E3B">
              <w:rPr>
                <w:rFonts w:ascii="Arial" w:hAnsi="Arial" w:cs="Arial"/>
                <w:b/>
                <w:noProof/>
                <w:sz w:val="18"/>
                <w:szCs w:val="18"/>
              </w:rPr>
              <w:t> </w:t>
            </w:r>
            <w:r w:rsidRPr="00A03E3B">
              <w:rPr>
                <w:rFonts w:ascii="Arial" w:hAnsi="Arial" w:cs="Arial"/>
                <w:b/>
                <w:noProof/>
                <w:sz w:val="18"/>
                <w:szCs w:val="18"/>
              </w:rPr>
              <w:fldChar w:fldCharType="end"/>
            </w:r>
          </w:p>
        </w:tc>
        <w:tc>
          <w:tcPr>
            <w:tcW w:w="851" w:type="dxa"/>
            <w:vAlign w:val="center"/>
          </w:tcPr>
          <w:p w:rsidR="00844808" w:rsidRPr="00A03E3B" w:rsidRDefault="00844808" w:rsidP="00844808">
            <w:pPr>
              <w:ind w:left="-83"/>
              <w:jc w:val="right"/>
              <w:rPr>
                <w:rFonts w:ascii="Arial" w:hAnsi="Arial" w:cs="Arial"/>
                <w:b/>
                <w:noProof/>
                <w:sz w:val="18"/>
                <w:szCs w:val="18"/>
              </w:rPr>
            </w:pPr>
            <w:r w:rsidRPr="00A03E3B">
              <w:rPr>
                <w:rFonts w:ascii="Arial" w:hAnsi="Arial" w:cs="Arial"/>
                <w:b/>
                <w:noProof/>
                <w:sz w:val="18"/>
                <w:szCs w:val="18"/>
              </w:rPr>
              <w:t>314.500</w:t>
            </w:r>
          </w:p>
        </w:tc>
      </w:tr>
    </w:tbl>
    <w:p w:rsidR="00517824" w:rsidRPr="00517824" w:rsidRDefault="00517824" w:rsidP="00D30D66">
      <w:pPr>
        <w:spacing w:before="240" w:after="120" w:line="360" w:lineRule="auto"/>
        <w:rPr>
          <w:rFonts w:ascii="Arial" w:hAnsi="Arial" w:cs="Arial"/>
          <w:b/>
          <w:sz w:val="22"/>
          <w:szCs w:val="22"/>
        </w:rPr>
      </w:pPr>
      <w:r w:rsidRPr="00517824">
        <w:rPr>
          <w:rFonts w:ascii="Arial" w:hAnsi="Arial" w:cs="Arial"/>
          <w:b/>
          <w:sz w:val="22"/>
          <w:szCs w:val="22"/>
        </w:rPr>
        <w:t xml:space="preserve">6. </w:t>
      </w:r>
      <w:r w:rsidR="00423FD2" w:rsidRPr="00517824">
        <w:rPr>
          <w:rFonts w:ascii="Arial" w:hAnsi="Arial" w:cs="Arial"/>
          <w:b/>
          <w:sz w:val="22"/>
          <w:szCs w:val="22"/>
        </w:rPr>
        <w:t xml:space="preserve">HITOS Y OBJETIVOS DE LA INVERSIÓN </w:t>
      </w:r>
      <w:bookmarkStart w:id="0" w:name="_GoBack"/>
      <w:bookmarkEnd w:id="0"/>
    </w:p>
    <w:p w:rsidR="00D152C3" w:rsidRDefault="00D152C3" w:rsidP="00D30D66">
      <w:pPr>
        <w:pStyle w:val="Prrafodelista"/>
        <w:numPr>
          <w:ilvl w:val="0"/>
          <w:numId w:val="9"/>
        </w:numPr>
        <w:spacing w:before="120" w:after="120" w:line="360" w:lineRule="auto"/>
        <w:ind w:left="709" w:hanging="283"/>
        <w:contextualSpacing w:val="0"/>
        <w:jc w:val="both"/>
        <w:rPr>
          <w:rFonts w:ascii="Arial" w:hAnsi="Arial" w:cs="Arial"/>
          <w:sz w:val="22"/>
          <w:szCs w:val="22"/>
        </w:rPr>
      </w:pPr>
      <w:r w:rsidRPr="00937135">
        <w:rPr>
          <w:rFonts w:ascii="Arial" w:hAnsi="Arial" w:cs="Arial"/>
          <w:sz w:val="22"/>
          <w:szCs w:val="22"/>
        </w:rPr>
        <w:t>Objetivo 1. Proyectos innovadores para la transformación de la industria en términos de eficiencia energética, sostenibilidad y digitalización: Concesión por el Minist</w:t>
      </w:r>
      <w:r w:rsidR="0019750E" w:rsidRPr="00937135">
        <w:rPr>
          <w:rFonts w:ascii="Arial" w:hAnsi="Arial" w:cs="Arial"/>
          <w:sz w:val="22"/>
          <w:szCs w:val="22"/>
        </w:rPr>
        <w:t>erio de Industria de al menos 1.200.000.</w:t>
      </w:r>
      <w:r w:rsidRPr="00937135">
        <w:rPr>
          <w:rFonts w:ascii="Arial" w:hAnsi="Arial" w:cs="Arial"/>
          <w:sz w:val="22"/>
          <w:szCs w:val="22"/>
        </w:rPr>
        <w:t xml:space="preserve">000 EUR al menos a 78 proyectos innovadores, incluidos los relacionados con </w:t>
      </w:r>
      <w:proofErr w:type="spellStart"/>
      <w:r w:rsidRPr="00937135">
        <w:rPr>
          <w:rFonts w:ascii="Arial" w:hAnsi="Arial" w:cs="Arial"/>
          <w:sz w:val="22"/>
          <w:szCs w:val="22"/>
        </w:rPr>
        <w:t>PERTEs</w:t>
      </w:r>
      <w:proofErr w:type="spellEnd"/>
      <w:r w:rsidRPr="00937135">
        <w:rPr>
          <w:rFonts w:ascii="Arial" w:hAnsi="Arial" w:cs="Arial"/>
          <w:sz w:val="22"/>
          <w:szCs w:val="22"/>
        </w:rPr>
        <w:t xml:space="preserve"> aprobados (al menos 3), que impliquen una transformación sustancial de la industria en términos de eficiencia energética, sostenibilidad y transformación digital.</w:t>
      </w:r>
    </w:p>
    <w:p w:rsidR="00D152C3" w:rsidRDefault="00D152C3" w:rsidP="00D30D66">
      <w:pPr>
        <w:pStyle w:val="Prrafodelista"/>
        <w:numPr>
          <w:ilvl w:val="0"/>
          <w:numId w:val="9"/>
        </w:numPr>
        <w:spacing w:before="120" w:after="120" w:line="360" w:lineRule="auto"/>
        <w:ind w:left="709" w:hanging="283"/>
        <w:contextualSpacing w:val="0"/>
        <w:jc w:val="both"/>
        <w:rPr>
          <w:rFonts w:ascii="Arial" w:hAnsi="Arial" w:cs="Arial"/>
          <w:sz w:val="22"/>
          <w:szCs w:val="22"/>
        </w:rPr>
      </w:pPr>
      <w:r w:rsidRPr="00937135">
        <w:rPr>
          <w:rFonts w:ascii="Arial" w:hAnsi="Arial" w:cs="Arial"/>
          <w:sz w:val="22"/>
          <w:szCs w:val="22"/>
        </w:rPr>
        <w:t xml:space="preserve">Objetivo 2. Ejecución presupuestaria de </w:t>
      </w:r>
      <w:proofErr w:type="spellStart"/>
      <w:r w:rsidRPr="00937135">
        <w:rPr>
          <w:rFonts w:ascii="Arial" w:hAnsi="Arial" w:cs="Arial"/>
          <w:sz w:val="22"/>
          <w:szCs w:val="22"/>
        </w:rPr>
        <w:t>PERTEs</w:t>
      </w:r>
      <w:proofErr w:type="spellEnd"/>
      <w:r w:rsidRPr="00937135">
        <w:rPr>
          <w:rFonts w:ascii="Arial" w:hAnsi="Arial" w:cs="Arial"/>
          <w:sz w:val="22"/>
          <w:szCs w:val="22"/>
        </w:rPr>
        <w:t xml:space="preserve"> y proyectos innovadores para la transformación de la industria: Ejecuci</w:t>
      </w:r>
      <w:r w:rsidR="0019750E" w:rsidRPr="00937135">
        <w:rPr>
          <w:rFonts w:ascii="Arial" w:hAnsi="Arial" w:cs="Arial"/>
          <w:sz w:val="22"/>
          <w:szCs w:val="22"/>
        </w:rPr>
        <w:t>ón presupuestaria de al menos 2.531.500.</w:t>
      </w:r>
      <w:r w:rsidRPr="00937135">
        <w:rPr>
          <w:rFonts w:ascii="Arial" w:hAnsi="Arial" w:cs="Arial"/>
          <w:sz w:val="22"/>
          <w:szCs w:val="22"/>
        </w:rPr>
        <w:t xml:space="preserve">000 EUR movilizados en 210 proyectos innovadores, incluidos los relacionados con </w:t>
      </w:r>
      <w:proofErr w:type="spellStart"/>
      <w:r w:rsidRPr="00937135">
        <w:rPr>
          <w:rFonts w:ascii="Arial" w:hAnsi="Arial" w:cs="Arial"/>
          <w:sz w:val="22"/>
          <w:szCs w:val="22"/>
        </w:rPr>
        <w:t>PERTEs</w:t>
      </w:r>
      <w:proofErr w:type="spellEnd"/>
      <w:r w:rsidRPr="00937135">
        <w:rPr>
          <w:rFonts w:ascii="Arial" w:hAnsi="Arial" w:cs="Arial"/>
          <w:sz w:val="22"/>
          <w:szCs w:val="22"/>
        </w:rPr>
        <w:t xml:space="preserve"> aprobados (al menos 3), que impliquen una transformación real de la industria en términos de eficiencia energética, sostenibilidad y transformación digital.</w:t>
      </w:r>
    </w:p>
    <w:p w:rsidR="008B3CA0" w:rsidRPr="00286F40" w:rsidRDefault="00D152C3" w:rsidP="00D30D66">
      <w:pPr>
        <w:pStyle w:val="Prrafodelista"/>
        <w:numPr>
          <w:ilvl w:val="0"/>
          <w:numId w:val="9"/>
        </w:numPr>
        <w:spacing w:before="120" w:after="120" w:line="360" w:lineRule="auto"/>
        <w:ind w:left="709" w:hanging="283"/>
        <w:contextualSpacing w:val="0"/>
        <w:jc w:val="both"/>
        <w:rPr>
          <w:rFonts w:ascii="Arial" w:hAnsi="Arial" w:cs="Arial"/>
          <w:sz w:val="22"/>
          <w:szCs w:val="22"/>
        </w:rPr>
      </w:pPr>
      <w:r w:rsidRPr="009D5EFB">
        <w:rPr>
          <w:rFonts w:ascii="Arial" w:hAnsi="Arial" w:cs="Arial"/>
          <w:sz w:val="22"/>
          <w:szCs w:val="22"/>
        </w:rPr>
        <w:t xml:space="preserve">Objetivo 3. Finalización de </w:t>
      </w:r>
      <w:proofErr w:type="spellStart"/>
      <w:r w:rsidRPr="009D5EFB">
        <w:rPr>
          <w:rFonts w:ascii="Arial" w:hAnsi="Arial" w:cs="Arial"/>
          <w:sz w:val="22"/>
          <w:szCs w:val="22"/>
        </w:rPr>
        <w:t>PERTEs</w:t>
      </w:r>
      <w:proofErr w:type="spellEnd"/>
      <w:r w:rsidRPr="009D5EFB">
        <w:rPr>
          <w:rFonts w:ascii="Arial" w:hAnsi="Arial" w:cs="Arial"/>
          <w:sz w:val="22"/>
          <w:szCs w:val="22"/>
        </w:rPr>
        <w:t xml:space="preserve"> y proyectos innovadores para la transformación de la industria: Finalización de al menos 210 proyectos innovadores, incluidos los relacionados con </w:t>
      </w:r>
      <w:proofErr w:type="spellStart"/>
      <w:r w:rsidRPr="009D5EFB">
        <w:rPr>
          <w:rFonts w:ascii="Arial" w:hAnsi="Arial" w:cs="Arial"/>
          <w:sz w:val="22"/>
          <w:szCs w:val="22"/>
        </w:rPr>
        <w:t>PERTEs</w:t>
      </w:r>
      <w:proofErr w:type="spellEnd"/>
      <w:r w:rsidRPr="009D5EFB">
        <w:rPr>
          <w:rFonts w:ascii="Arial" w:hAnsi="Arial" w:cs="Arial"/>
          <w:sz w:val="22"/>
          <w:szCs w:val="22"/>
        </w:rPr>
        <w:t xml:space="preserve"> aprobados (al menos 3), que impliquen una transformación real de la industria en términos de eficiencia energética, sostenibilidad y transformación digital.</w:t>
      </w:r>
    </w:p>
    <w:sectPr w:rsidR="008B3CA0" w:rsidRPr="00286F40" w:rsidSect="00D30D66">
      <w:pgSz w:w="11907" w:h="16840"/>
      <w:pgMar w:top="1985" w:right="1134" w:bottom="1134"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79FD"/>
    <w:multiLevelType w:val="hybridMultilevel"/>
    <w:tmpl w:val="E1725670"/>
    <w:lvl w:ilvl="0" w:tplc="151AE334">
      <w:start w:val="1"/>
      <w:numFmt w:val="lowerRoman"/>
      <w:lvlText w:val="(%1)"/>
      <w:lvlJc w:val="left"/>
      <w:pPr>
        <w:ind w:left="1080" w:hanging="720"/>
      </w:pPr>
      <w:rPr>
        <w:rFonts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2365190"/>
    <w:multiLevelType w:val="hybridMultilevel"/>
    <w:tmpl w:val="6C9ADF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57EB203F"/>
    <w:multiLevelType w:val="hybridMultilevel"/>
    <w:tmpl w:val="D21651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661D36F7"/>
    <w:multiLevelType w:val="hybridMultilevel"/>
    <w:tmpl w:val="D7CE7D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6DCE5334"/>
    <w:multiLevelType w:val="hybridMultilevel"/>
    <w:tmpl w:val="5010F924"/>
    <w:lvl w:ilvl="0" w:tplc="0C0A0001">
      <w:start w:val="1"/>
      <w:numFmt w:val="bullet"/>
      <w:lvlText w:val=""/>
      <w:lvlJc w:val="left"/>
      <w:pPr>
        <w:ind w:left="1068" w:hanging="360"/>
      </w:pPr>
      <w:rPr>
        <w:rFonts w:ascii="Symbol" w:hAnsi="Symbol" w:hint="default"/>
      </w:rPr>
    </w:lvl>
    <w:lvl w:ilvl="1" w:tplc="0C0A0003">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8" w15:restartNumberingAfterBreak="0">
    <w:nsid w:val="7D085C86"/>
    <w:multiLevelType w:val="hybridMultilevel"/>
    <w:tmpl w:val="A8426952"/>
    <w:lvl w:ilvl="0" w:tplc="0C0A0001">
      <w:start w:val="1"/>
      <w:numFmt w:val="bullet"/>
      <w:lvlText w:val=""/>
      <w:lvlJc w:val="left"/>
      <w:pPr>
        <w:ind w:left="773" w:hanging="360"/>
      </w:pPr>
      <w:rPr>
        <w:rFonts w:ascii="Symbol" w:hAnsi="Symbol" w:hint="default"/>
      </w:rPr>
    </w:lvl>
    <w:lvl w:ilvl="1" w:tplc="0C0A0003" w:tentative="1">
      <w:start w:val="1"/>
      <w:numFmt w:val="bullet"/>
      <w:lvlText w:val="o"/>
      <w:lvlJc w:val="left"/>
      <w:pPr>
        <w:ind w:left="1493" w:hanging="360"/>
      </w:pPr>
      <w:rPr>
        <w:rFonts w:ascii="Courier New" w:hAnsi="Courier New" w:cs="Courier New" w:hint="default"/>
      </w:rPr>
    </w:lvl>
    <w:lvl w:ilvl="2" w:tplc="0C0A0005" w:tentative="1">
      <w:start w:val="1"/>
      <w:numFmt w:val="bullet"/>
      <w:lvlText w:val=""/>
      <w:lvlJc w:val="left"/>
      <w:pPr>
        <w:ind w:left="2213" w:hanging="360"/>
      </w:pPr>
      <w:rPr>
        <w:rFonts w:ascii="Wingdings" w:hAnsi="Wingdings" w:hint="default"/>
      </w:rPr>
    </w:lvl>
    <w:lvl w:ilvl="3" w:tplc="0C0A0001" w:tentative="1">
      <w:start w:val="1"/>
      <w:numFmt w:val="bullet"/>
      <w:lvlText w:val=""/>
      <w:lvlJc w:val="left"/>
      <w:pPr>
        <w:ind w:left="2933" w:hanging="360"/>
      </w:pPr>
      <w:rPr>
        <w:rFonts w:ascii="Symbol" w:hAnsi="Symbol" w:hint="default"/>
      </w:rPr>
    </w:lvl>
    <w:lvl w:ilvl="4" w:tplc="0C0A0003" w:tentative="1">
      <w:start w:val="1"/>
      <w:numFmt w:val="bullet"/>
      <w:lvlText w:val="o"/>
      <w:lvlJc w:val="left"/>
      <w:pPr>
        <w:ind w:left="3653" w:hanging="360"/>
      </w:pPr>
      <w:rPr>
        <w:rFonts w:ascii="Courier New" w:hAnsi="Courier New" w:cs="Courier New" w:hint="default"/>
      </w:rPr>
    </w:lvl>
    <w:lvl w:ilvl="5" w:tplc="0C0A0005" w:tentative="1">
      <w:start w:val="1"/>
      <w:numFmt w:val="bullet"/>
      <w:lvlText w:val=""/>
      <w:lvlJc w:val="left"/>
      <w:pPr>
        <w:ind w:left="4373" w:hanging="360"/>
      </w:pPr>
      <w:rPr>
        <w:rFonts w:ascii="Wingdings" w:hAnsi="Wingdings" w:hint="default"/>
      </w:rPr>
    </w:lvl>
    <w:lvl w:ilvl="6" w:tplc="0C0A0001" w:tentative="1">
      <w:start w:val="1"/>
      <w:numFmt w:val="bullet"/>
      <w:lvlText w:val=""/>
      <w:lvlJc w:val="left"/>
      <w:pPr>
        <w:ind w:left="5093" w:hanging="360"/>
      </w:pPr>
      <w:rPr>
        <w:rFonts w:ascii="Symbol" w:hAnsi="Symbol" w:hint="default"/>
      </w:rPr>
    </w:lvl>
    <w:lvl w:ilvl="7" w:tplc="0C0A0003" w:tentative="1">
      <w:start w:val="1"/>
      <w:numFmt w:val="bullet"/>
      <w:lvlText w:val="o"/>
      <w:lvlJc w:val="left"/>
      <w:pPr>
        <w:ind w:left="5813" w:hanging="360"/>
      </w:pPr>
      <w:rPr>
        <w:rFonts w:ascii="Courier New" w:hAnsi="Courier New" w:cs="Courier New" w:hint="default"/>
      </w:rPr>
    </w:lvl>
    <w:lvl w:ilvl="8" w:tplc="0C0A0005" w:tentative="1">
      <w:start w:val="1"/>
      <w:numFmt w:val="bullet"/>
      <w:lvlText w:val=""/>
      <w:lvlJc w:val="left"/>
      <w:pPr>
        <w:ind w:left="6533" w:hanging="360"/>
      </w:pPr>
      <w:rPr>
        <w:rFonts w:ascii="Wingdings" w:hAnsi="Wingdings" w:hint="default"/>
      </w:rPr>
    </w:lvl>
  </w:abstractNum>
  <w:num w:numId="1">
    <w:abstractNumId w:val="5"/>
  </w:num>
  <w:num w:numId="2">
    <w:abstractNumId w:val="4"/>
  </w:num>
  <w:num w:numId="3">
    <w:abstractNumId w:val="1"/>
  </w:num>
  <w:num w:numId="4">
    <w:abstractNumId w:val="0"/>
  </w:num>
  <w:num w:numId="5">
    <w:abstractNumId w:val="2"/>
  </w:num>
  <w:num w:numId="6">
    <w:abstractNumId w:val="7"/>
  </w:num>
  <w:num w:numId="7">
    <w:abstractNumId w:val="8"/>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3251D"/>
    <w:rsid w:val="00062AE0"/>
    <w:rsid w:val="00080CFF"/>
    <w:rsid w:val="00085A45"/>
    <w:rsid w:val="000A1311"/>
    <w:rsid w:val="000C68A4"/>
    <w:rsid w:val="000D01F9"/>
    <w:rsid w:val="000F3FBB"/>
    <w:rsid w:val="00163D0D"/>
    <w:rsid w:val="0019750E"/>
    <w:rsid w:val="001A5F87"/>
    <w:rsid w:val="001B34B9"/>
    <w:rsid w:val="001D5F67"/>
    <w:rsid w:val="00286F40"/>
    <w:rsid w:val="002D6322"/>
    <w:rsid w:val="002F0C59"/>
    <w:rsid w:val="003154A2"/>
    <w:rsid w:val="003208C4"/>
    <w:rsid w:val="00343745"/>
    <w:rsid w:val="0035033C"/>
    <w:rsid w:val="00377A9D"/>
    <w:rsid w:val="00382F6E"/>
    <w:rsid w:val="003A7E9B"/>
    <w:rsid w:val="003B52B3"/>
    <w:rsid w:val="003D56D8"/>
    <w:rsid w:val="00411F18"/>
    <w:rsid w:val="00423FD2"/>
    <w:rsid w:val="0046397C"/>
    <w:rsid w:val="004C057D"/>
    <w:rsid w:val="004D0027"/>
    <w:rsid w:val="004F4BF7"/>
    <w:rsid w:val="00501DDE"/>
    <w:rsid w:val="00517824"/>
    <w:rsid w:val="00531BE2"/>
    <w:rsid w:val="00533EE7"/>
    <w:rsid w:val="00536ED6"/>
    <w:rsid w:val="005624D2"/>
    <w:rsid w:val="00564761"/>
    <w:rsid w:val="005B477A"/>
    <w:rsid w:val="005C4BF4"/>
    <w:rsid w:val="006F018F"/>
    <w:rsid w:val="007425DE"/>
    <w:rsid w:val="007B6373"/>
    <w:rsid w:val="007E37FC"/>
    <w:rsid w:val="007F3B1F"/>
    <w:rsid w:val="008076C5"/>
    <w:rsid w:val="00844808"/>
    <w:rsid w:val="008476C0"/>
    <w:rsid w:val="008620A4"/>
    <w:rsid w:val="008B3CA0"/>
    <w:rsid w:val="008B6C42"/>
    <w:rsid w:val="008D6462"/>
    <w:rsid w:val="008E0CEC"/>
    <w:rsid w:val="008F0C79"/>
    <w:rsid w:val="0093453B"/>
    <w:rsid w:val="00937135"/>
    <w:rsid w:val="00952F88"/>
    <w:rsid w:val="00991697"/>
    <w:rsid w:val="009A64D7"/>
    <w:rsid w:val="009A7074"/>
    <w:rsid w:val="009D5EFB"/>
    <w:rsid w:val="00A03E3B"/>
    <w:rsid w:val="00A06941"/>
    <w:rsid w:val="00A101B0"/>
    <w:rsid w:val="00A176EA"/>
    <w:rsid w:val="00A32DF7"/>
    <w:rsid w:val="00A44DEA"/>
    <w:rsid w:val="00A9503D"/>
    <w:rsid w:val="00AE318F"/>
    <w:rsid w:val="00B305D2"/>
    <w:rsid w:val="00B30BB6"/>
    <w:rsid w:val="00B6769D"/>
    <w:rsid w:val="00B80D92"/>
    <w:rsid w:val="00B94E3B"/>
    <w:rsid w:val="00BB047B"/>
    <w:rsid w:val="00BB64BC"/>
    <w:rsid w:val="00BE5B5A"/>
    <w:rsid w:val="00C87CB2"/>
    <w:rsid w:val="00CA5DBC"/>
    <w:rsid w:val="00CB75ED"/>
    <w:rsid w:val="00D152C3"/>
    <w:rsid w:val="00D30D66"/>
    <w:rsid w:val="00D46D8D"/>
    <w:rsid w:val="00DC7CA9"/>
    <w:rsid w:val="00E27FD8"/>
    <w:rsid w:val="00E40A88"/>
    <w:rsid w:val="00E570B7"/>
    <w:rsid w:val="00EB0AC9"/>
    <w:rsid w:val="00EB4553"/>
    <w:rsid w:val="00EB4984"/>
    <w:rsid w:val="00EC7AD9"/>
    <w:rsid w:val="00ED092E"/>
    <w:rsid w:val="00F074DE"/>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Párrafo dentro,Normal N3,Arial 8,Bullet,Párrafo de lista11,List Paragraph1,Lista1,Párrafo de lista - cat,Resume Title,Dot pt,No Spacing1,List Paragraph Char Char Char,Indicator Text,Numbered Para 1,Bullet Points,MAIN CONTENT,b1,K1"/>
    <w:basedOn w:val="Normal"/>
    <w:link w:val="PrrafodelistaCar"/>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character" w:customStyle="1" w:styleId="PrrafodelistaCar">
    <w:name w:val="Párrafo de lista Car"/>
    <w:aliases w:val="List Car,Párrafo dentro Car,Normal N3 Car,Arial 8 Car,Bullet Car,Párrafo de lista11 Car,List Paragraph1 Car,Lista1 Car,Párrafo de lista - cat Car,Resume Title Car,Dot pt Car,No Spacing1 Car,List Paragraph Char Char Char Car,b1 Car"/>
    <w:link w:val="Prrafodelista"/>
    <w:uiPriority w:val="34"/>
    <w:qFormat/>
    <w:rsid w:val="002D6322"/>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5573647">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ur-lex.europa.eu/legal-content/ES/TXT/?uri=uriserv:OJ.C_.2014.188.01.0004.01.SPA&amp;toc=OJ:C:2014:188:FUL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2D50F-2804-4B31-B9AD-E711C32BC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1559</Words>
  <Characters>9500</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11037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Martín Masa, Alicia</cp:lastModifiedBy>
  <cp:revision>8</cp:revision>
  <cp:lastPrinted>2021-09-27T07:49:00Z</cp:lastPrinted>
  <dcterms:created xsi:type="dcterms:W3CDTF">2021-09-30T09:52:00Z</dcterms:created>
  <dcterms:modified xsi:type="dcterms:W3CDTF">2021-10-19T09:18:00Z</dcterms:modified>
</cp:coreProperties>
</file>